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center"/>
        <w:rPr>
          <w:rFonts w:hint="eastAsia" w:ascii="Times New Roman" w:hAnsi="Times New Roman" w:eastAsia="方正小标宋简体" w:cs="方正小标宋简体"/>
          <w:sz w:val="72"/>
          <w:szCs w:val="7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lang w:bidi="ar"/>
        </w:rPr>
      </w:pPr>
      <w:bookmarkStart w:id="0" w:name="_GoBack"/>
      <w:bookmarkEnd w:id="0"/>
    </w:p>
    <w:p>
      <w:pPr>
        <w:pStyle w:val="4"/>
        <w:widowControl/>
        <w:spacing w:before="0" w:beforeAutospacing="0" w:after="0" w:afterAutospacing="0"/>
        <w:jc w:val="center"/>
        <w:rPr>
          <w:rFonts w:hint="eastAsia" w:ascii="Times New Roman" w:hAnsi="Times New Roman" w:eastAsia="方正小标宋简体" w:cs="方正小标宋简体"/>
          <w:sz w:val="72"/>
          <w:szCs w:val="7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lang w:bidi="ar"/>
        </w:rPr>
      </w:pPr>
    </w:p>
    <w:p>
      <w:pPr>
        <w:widowControl/>
        <w:jc w:val="center"/>
        <w:outlineLvl w:val="0"/>
        <w:rPr>
          <w:rFonts w:hint="eastAsia" w:ascii="Times New Roman" w:hAnsi="Times New Roman" w:eastAsia="方正小标宋简体" w:cs="方正小标宋简体"/>
          <w:kern w:val="0"/>
          <w:sz w:val="72"/>
          <w:szCs w:val="72"/>
          <w:lang w:val="en-US" w:eastAsia="zh-CN" w:bidi="ar"/>
        </w:rPr>
      </w:pPr>
      <w:r>
        <w:rPr>
          <w:rFonts w:hint="eastAsia" w:ascii="Times New Roman" w:hAnsi="Times New Roman" w:eastAsia="方正小标宋简体" w:cs="方正小标宋简体"/>
          <w:kern w:val="0"/>
          <w:sz w:val="72"/>
          <w:szCs w:val="72"/>
          <w:lang w:val="en-US" w:eastAsia="zh-CN" w:bidi="ar"/>
        </w:rPr>
        <w:t>乐山市奥林匹克学校</w:t>
      </w:r>
    </w:p>
    <w:p>
      <w:pPr>
        <w:widowControl/>
        <w:ind w:firstLine="880"/>
        <w:jc w:val="center"/>
        <w:outlineLvl w:val="0"/>
        <w:rPr>
          <w:rFonts w:hint="eastAsia"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202</w:t>
      </w:r>
      <w:r>
        <w:rPr>
          <w:rFonts w:hint="eastAsia" w:ascii="Times New Roman" w:hAnsi="Times New Roman" w:eastAsia="方正小标宋简体" w:cs="方正小标宋简体"/>
          <w:kern w:val="0"/>
          <w:sz w:val="72"/>
          <w:szCs w:val="72"/>
          <w:lang w:val="en-US" w:eastAsia="zh-CN" w:bidi="ar"/>
        </w:rPr>
        <w:t>4</w:t>
      </w:r>
      <w:r>
        <w:rPr>
          <w:rFonts w:hint="eastAsia" w:ascii="Times New Roman" w:hAnsi="Times New Roman" w:eastAsia="方正小标宋简体" w:cs="方正小标宋简体"/>
          <w:kern w:val="0"/>
          <w:sz w:val="72"/>
          <w:szCs w:val="72"/>
          <w:lang w:bidi="ar"/>
        </w:rPr>
        <w:t>年预算</w:t>
      </w: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Fonts w:hint="eastAsia" w:ascii="Times New Roman" w:hAnsi="Times New Roman" w:eastAsia="方正小标宋简体" w:cs="方正小标宋简体"/>
          <w:kern w:val="0"/>
          <w:sz w:val="44"/>
          <w:szCs w:val="44"/>
          <w:lang w:bidi="ar"/>
        </w:rPr>
      </w:pPr>
    </w:p>
    <w:p>
      <w:pPr>
        <w:widowControl/>
        <w:ind w:firstLine="880"/>
        <w:jc w:val="center"/>
        <w:outlineLvl w:val="0"/>
        <w:rPr>
          <w:rStyle w:val="7"/>
          <w:rFonts w:ascii="Times New Roman" w:hAnsi="Times New Roman" w:eastAsia="黑体" w:cs="宋体"/>
          <w:color w:val="333333"/>
          <w:sz w:val="32"/>
          <w:szCs w:val="21"/>
        </w:rPr>
      </w:pPr>
      <w:r>
        <w:rPr>
          <w:rFonts w:hint="eastAsia" w:ascii="Times New Roman" w:hAnsi="Times New Roman" w:eastAsia="方正小标宋简体" w:cs="方正小标宋简体"/>
          <w:kern w:val="0"/>
          <w:sz w:val="44"/>
          <w:szCs w:val="44"/>
          <w:lang w:bidi="ar"/>
        </w:rPr>
        <w:t>目录</w:t>
      </w:r>
    </w:p>
    <w:p>
      <w:pPr>
        <w:pStyle w:val="4"/>
        <w:widowControl/>
        <w:spacing w:before="0" w:beforeAutospacing="0" w:after="0" w:afterAutospacing="0" w:line="600" w:lineRule="exact"/>
        <w:ind w:firstLine="640" w:firstLineChars="200"/>
        <w:jc w:val="both"/>
        <w:outlineLvl w:val="0"/>
        <w:rPr>
          <w:rFonts w:ascii="Times New Roman" w:hAnsi="Times New Roman" w:cs="宋体"/>
          <w:bCs/>
          <w:color w:val="333333"/>
          <w:sz w:val="21"/>
          <w:szCs w:val="21"/>
        </w:rPr>
      </w:pPr>
      <w:r>
        <w:rPr>
          <w:rStyle w:val="7"/>
          <w:rFonts w:ascii="Times New Roman" w:hAnsi="Times New Roman" w:eastAsia="黑体" w:cs="宋体"/>
          <w:b w:val="0"/>
          <w:bCs/>
          <w:color w:val="333333"/>
          <w:sz w:val="32"/>
          <w:szCs w:val="21"/>
        </w:rPr>
        <w:t>第一部分</w:t>
      </w:r>
      <w:r>
        <w:rPr>
          <w:rStyle w:val="7"/>
          <w:rFonts w:hint="eastAsia" w:ascii="Times New Roman" w:hAnsi="Times New Roman" w:eastAsia="黑体" w:cs="宋体"/>
          <w:b w:val="0"/>
          <w:bCs/>
          <w:color w:val="333333"/>
          <w:sz w:val="32"/>
          <w:szCs w:val="21"/>
        </w:rPr>
        <w:t xml:space="preserve"> </w:t>
      </w:r>
      <w:r>
        <w:rPr>
          <w:rStyle w:val="7"/>
          <w:rFonts w:ascii="Times New Roman" w:hAnsi="Times New Roman" w:eastAsia="黑体" w:cs="宋体"/>
          <w:b w:val="0"/>
          <w:bCs/>
          <w:color w:val="333333"/>
          <w:sz w:val="32"/>
          <w:szCs w:val="21"/>
        </w:rPr>
        <w:t xml:space="preserve"> </w:t>
      </w:r>
      <w:r>
        <w:rPr>
          <w:rStyle w:val="7"/>
          <w:rFonts w:hint="eastAsia" w:ascii="Times New Roman" w:hAnsi="Times New Roman" w:eastAsia="黑体" w:cs="宋体"/>
          <w:b w:val="0"/>
          <w:bCs/>
          <w:color w:val="333333"/>
          <w:sz w:val="32"/>
          <w:szCs w:val="21"/>
          <w:lang w:val="en-US" w:eastAsia="zh-CN"/>
        </w:rPr>
        <w:t>乐山市奥林匹克学校</w:t>
      </w:r>
      <w:r>
        <w:rPr>
          <w:rStyle w:val="7"/>
          <w:rFonts w:ascii="Times New Roman" w:hAnsi="Times New Roman" w:eastAsia="黑体" w:cs="宋体"/>
          <w:b w:val="0"/>
          <w:bCs/>
          <w:color w:val="333333"/>
          <w:sz w:val="32"/>
          <w:szCs w:val="21"/>
        </w:rPr>
        <w:t>概况</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一、基本职能及主要工作</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预算单位构成</w:t>
      </w:r>
    </w:p>
    <w:p>
      <w:pPr>
        <w:pStyle w:val="4"/>
        <w:widowControl/>
        <w:spacing w:before="0" w:beforeAutospacing="0" w:after="0" w:afterAutospacing="0" w:line="600" w:lineRule="exact"/>
        <w:ind w:firstLine="640" w:firstLineChars="200"/>
        <w:jc w:val="both"/>
        <w:outlineLvl w:val="0"/>
        <w:rPr>
          <w:rFonts w:ascii="Times New Roman" w:hAnsi="Times New Roman" w:cs="宋体"/>
          <w:bCs/>
          <w:color w:val="333333"/>
          <w:sz w:val="21"/>
          <w:szCs w:val="21"/>
        </w:rPr>
      </w:pPr>
      <w:r>
        <w:rPr>
          <w:rStyle w:val="7"/>
          <w:rFonts w:ascii="Times New Roman" w:hAnsi="Times New Roman" w:eastAsia="黑体" w:cs="宋体"/>
          <w:b w:val="0"/>
          <w:bCs/>
          <w:color w:val="333333"/>
          <w:sz w:val="32"/>
          <w:szCs w:val="21"/>
        </w:rPr>
        <w:t>第二部分</w:t>
      </w:r>
      <w:r>
        <w:rPr>
          <w:rStyle w:val="7"/>
          <w:rFonts w:hint="eastAsia" w:ascii="Times New Roman" w:hAnsi="Times New Roman" w:eastAsia="黑体" w:cs="宋体"/>
          <w:b w:val="0"/>
          <w:bCs/>
          <w:color w:val="333333"/>
          <w:sz w:val="32"/>
          <w:szCs w:val="21"/>
        </w:rPr>
        <w:t xml:space="preserve"> </w:t>
      </w:r>
      <w:r>
        <w:rPr>
          <w:rStyle w:val="7"/>
          <w:rFonts w:hint="eastAsia" w:ascii="Times New Roman" w:hAnsi="Times New Roman" w:eastAsia="黑体" w:cs="宋体"/>
          <w:b w:val="0"/>
          <w:bCs/>
          <w:color w:val="333333"/>
          <w:sz w:val="32"/>
          <w:szCs w:val="21"/>
          <w:lang w:val="en-US" w:eastAsia="zh-CN"/>
        </w:rPr>
        <w:t>乐山市奥林匹克学校</w:t>
      </w:r>
      <w:r>
        <w:rPr>
          <w:rStyle w:val="7"/>
          <w:rFonts w:ascii="Times New Roman" w:hAnsi="Times New Roman" w:eastAsia="黑体" w:cs="宋体"/>
          <w:b w:val="0"/>
          <w:bCs/>
          <w:color w:val="333333"/>
          <w:sz w:val="32"/>
          <w:szCs w:val="21"/>
        </w:rPr>
        <w:t>202</w:t>
      </w:r>
      <w:r>
        <w:rPr>
          <w:rStyle w:val="7"/>
          <w:rFonts w:hint="eastAsia" w:ascii="Times New Roman" w:hAnsi="Times New Roman" w:eastAsia="黑体" w:cs="宋体"/>
          <w:b w:val="0"/>
          <w:bCs/>
          <w:color w:val="333333"/>
          <w:sz w:val="32"/>
          <w:szCs w:val="21"/>
          <w:lang w:val="en-US" w:eastAsia="zh-CN"/>
        </w:rPr>
        <w:t>4</w:t>
      </w:r>
      <w:r>
        <w:rPr>
          <w:rStyle w:val="7"/>
          <w:rFonts w:ascii="Times New Roman" w:hAnsi="Times New Roman" w:eastAsia="黑体" w:cs="宋体"/>
          <w:b w:val="0"/>
          <w:bCs/>
          <w:color w:val="333333"/>
          <w:sz w:val="32"/>
          <w:szCs w:val="21"/>
        </w:rPr>
        <w:t>年</w:t>
      </w:r>
      <w:r>
        <w:rPr>
          <w:rStyle w:val="7"/>
          <w:rFonts w:hint="eastAsia" w:ascii="Times New Roman" w:hAnsi="Times New Roman" w:eastAsia="黑体" w:cs="宋体"/>
          <w:b w:val="0"/>
          <w:bCs/>
          <w:color w:val="333333"/>
          <w:sz w:val="32"/>
          <w:szCs w:val="21"/>
          <w:lang w:eastAsia="zh-CN"/>
        </w:rPr>
        <w:t>单位</w:t>
      </w:r>
      <w:r>
        <w:rPr>
          <w:rStyle w:val="7"/>
          <w:rFonts w:ascii="Times New Roman" w:hAnsi="Times New Roman" w:eastAsia="黑体" w:cs="宋体"/>
          <w:b w:val="0"/>
          <w:bCs/>
          <w:color w:val="333333"/>
          <w:sz w:val="32"/>
          <w:szCs w:val="21"/>
        </w:rPr>
        <w:t>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收支总表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收入总表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三、</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支出总表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四、财政拨款收支预算总表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五、财政拨款支出预算表（</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经济分类科目）</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六、一般公共预算支出预算表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七、一般公共预算基本支出预算表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八、一般公共预算项目支出预算表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九、一般公共预算“三公”经费支出预算表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十、政府性基金预算支出表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十一、政府性基金预算“三公”经费支出预算表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十二、国有资本经营预算支出表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十三、</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预算项目支出绩效目标表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十四、</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整体支出绩效目标表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十五、政府采购预算表</w:t>
      </w:r>
    </w:p>
    <w:p>
      <w:pPr>
        <w:pStyle w:val="4"/>
        <w:widowControl/>
        <w:spacing w:before="0" w:beforeAutospacing="0" w:after="0" w:afterAutospacing="0" w:line="600" w:lineRule="exact"/>
        <w:ind w:firstLine="640" w:firstLineChars="200"/>
        <w:jc w:val="both"/>
        <w:outlineLvl w:val="0"/>
        <w:rPr>
          <w:rStyle w:val="7"/>
          <w:rFonts w:ascii="Times New Roman" w:hAnsi="Times New Roman" w:eastAsia="黑体" w:cs="宋体"/>
          <w:b w:val="0"/>
          <w:bCs/>
          <w:color w:val="333333"/>
          <w:sz w:val="32"/>
          <w:szCs w:val="21"/>
        </w:rPr>
      </w:pPr>
      <w:r>
        <w:rPr>
          <w:rStyle w:val="7"/>
          <w:rFonts w:ascii="Times New Roman" w:hAnsi="Times New Roman" w:eastAsia="黑体" w:cs="宋体"/>
          <w:b w:val="0"/>
          <w:bCs/>
          <w:color w:val="333333"/>
          <w:sz w:val="32"/>
          <w:szCs w:val="21"/>
        </w:rPr>
        <w:t>第三部分</w:t>
      </w:r>
      <w:r>
        <w:rPr>
          <w:rStyle w:val="7"/>
          <w:rFonts w:hint="eastAsia" w:ascii="Times New Roman" w:hAnsi="Times New Roman" w:eastAsia="黑体" w:cs="宋体"/>
          <w:b w:val="0"/>
          <w:bCs/>
          <w:color w:val="333333"/>
          <w:sz w:val="32"/>
          <w:szCs w:val="21"/>
        </w:rPr>
        <w:t xml:space="preserve"> </w:t>
      </w:r>
      <w:r>
        <w:rPr>
          <w:rStyle w:val="7"/>
          <w:rFonts w:hint="eastAsia" w:ascii="Times New Roman" w:hAnsi="Times New Roman" w:eastAsia="黑体" w:cs="宋体"/>
          <w:b w:val="0"/>
          <w:bCs/>
          <w:color w:val="333333"/>
          <w:sz w:val="32"/>
          <w:szCs w:val="21"/>
          <w:lang w:val="en-US" w:eastAsia="zh-CN"/>
        </w:rPr>
        <w:t>乐山市奥林匹克学校</w:t>
      </w:r>
      <w:r>
        <w:rPr>
          <w:rStyle w:val="7"/>
          <w:rFonts w:ascii="Times New Roman" w:hAnsi="Times New Roman" w:eastAsia="黑体" w:cs="宋体"/>
          <w:b w:val="0"/>
          <w:bCs/>
          <w:color w:val="333333"/>
          <w:sz w:val="32"/>
          <w:szCs w:val="21"/>
        </w:rPr>
        <w:t>202</w:t>
      </w:r>
      <w:r>
        <w:rPr>
          <w:rStyle w:val="7"/>
          <w:rFonts w:hint="eastAsia" w:ascii="Times New Roman" w:hAnsi="Times New Roman" w:eastAsia="黑体" w:cs="宋体"/>
          <w:b w:val="0"/>
          <w:bCs/>
          <w:color w:val="333333"/>
          <w:sz w:val="32"/>
          <w:szCs w:val="21"/>
          <w:lang w:val="en-US" w:eastAsia="zh-CN"/>
        </w:rPr>
        <w:t>4</w:t>
      </w:r>
      <w:r>
        <w:rPr>
          <w:rStyle w:val="7"/>
          <w:rFonts w:ascii="Times New Roman" w:hAnsi="Times New Roman" w:eastAsia="黑体" w:cs="宋体"/>
          <w:b w:val="0"/>
          <w:bCs/>
          <w:color w:val="333333"/>
          <w:sz w:val="32"/>
          <w:szCs w:val="21"/>
        </w:rPr>
        <w:t>年</w:t>
      </w:r>
      <w:r>
        <w:rPr>
          <w:rStyle w:val="7"/>
          <w:rFonts w:hint="eastAsia" w:ascii="Times New Roman" w:hAnsi="Times New Roman" w:eastAsia="黑体" w:cs="宋体"/>
          <w:b w:val="0"/>
          <w:bCs/>
          <w:color w:val="333333"/>
          <w:sz w:val="32"/>
          <w:szCs w:val="21"/>
          <w:lang w:eastAsia="zh-CN"/>
        </w:rPr>
        <w:t>单位</w:t>
      </w:r>
      <w:r>
        <w:rPr>
          <w:rStyle w:val="7"/>
          <w:rFonts w:ascii="Times New Roman" w:hAnsi="Times New Roman" w:eastAsia="黑体" w:cs="宋体"/>
          <w:b w:val="0"/>
          <w:bCs/>
          <w:color w:val="333333"/>
          <w:sz w:val="32"/>
          <w:szCs w:val="21"/>
        </w:rPr>
        <w:t>预算情况说明</w:t>
      </w:r>
    </w:p>
    <w:p>
      <w:pPr>
        <w:pStyle w:val="4"/>
        <w:widowControl/>
        <w:spacing w:before="0" w:beforeAutospacing="0" w:after="0" w:afterAutospacing="0" w:line="600" w:lineRule="exact"/>
        <w:ind w:firstLine="640" w:firstLineChars="200"/>
        <w:jc w:val="both"/>
        <w:outlineLvl w:val="0"/>
        <w:rPr>
          <w:rStyle w:val="7"/>
          <w:rFonts w:ascii="Times New Roman" w:hAnsi="Times New Roman" w:eastAsia="黑体" w:cs="宋体"/>
          <w:b w:val="0"/>
          <w:bCs/>
          <w:color w:val="333333"/>
          <w:sz w:val="32"/>
          <w:szCs w:val="21"/>
        </w:rPr>
      </w:pPr>
      <w:r>
        <w:rPr>
          <w:rStyle w:val="7"/>
          <w:rFonts w:ascii="Times New Roman" w:hAnsi="Times New Roman" w:eastAsia="黑体" w:cs="宋体"/>
          <w:b w:val="0"/>
          <w:bCs/>
          <w:color w:val="333333"/>
          <w:sz w:val="32"/>
          <w:szCs w:val="21"/>
        </w:rPr>
        <w:t>第四部分</w:t>
      </w:r>
      <w:r>
        <w:rPr>
          <w:rStyle w:val="7"/>
          <w:rFonts w:hint="eastAsia" w:ascii="Times New Roman" w:hAnsi="Times New Roman" w:eastAsia="黑体" w:cs="宋体"/>
          <w:b w:val="0"/>
          <w:bCs/>
          <w:color w:val="333333"/>
          <w:sz w:val="32"/>
          <w:szCs w:val="21"/>
        </w:rPr>
        <w:t xml:space="preserve">  </w:t>
      </w:r>
      <w:r>
        <w:rPr>
          <w:rStyle w:val="7"/>
          <w:rFonts w:ascii="Times New Roman" w:hAnsi="Times New Roman" w:eastAsia="黑体" w:cs="宋体"/>
          <w:b w:val="0"/>
          <w:bCs/>
          <w:color w:val="333333"/>
          <w:sz w:val="32"/>
          <w:szCs w:val="21"/>
        </w:rPr>
        <w:t>名词解释</w:t>
      </w: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sectPr>
          <w:footerReference r:id="rId3" w:type="default"/>
          <w:pgSz w:w="11906" w:h="16838"/>
          <w:pgMar w:top="1440" w:right="1800" w:bottom="1440" w:left="1800" w:header="720" w:footer="720" w:gutter="0"/>
          <w:pgNumType w:fmt="numberInDash" w:start="1"/>
          <w:cols w:space="720" w:num="1"/>
          <w:docGrid w:type="lines" w:linePitch="312" w:charSpace="0"/>
        </w:sect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第一部</w:t>
      </w:r>
      <w:r>
        <w:rPr>
          <w:rFonts w:hint="eastAsia" w:ascii="Times New Roman" w:hAnsi="Times New Roman" w:eastAsia="方正小标宋简体" w:cs="方正小标宋简体"/>
          <w:sz w:val="52"/>
          <w:szCs w:val="52"/>
          <w:lang w:val="en-US" w:eastAsia="zh-CN" w:bidi="ar"/>
        </w:rPr>
        <w:t>分乐山市奥林匹克学校</w:t>
      </w:r>
      <w:r>
        <w:rPr>
          <w:rFonts w:hint="eastAsia" w:ascii="Times New Roman" w:hAnsi="Times New Roman" w:eastAsia="方正小标宋简体" w:cs="方正小标宋简体"/>
          <w:sz w:val="52"/>
          <w:szCs w:val="52"/>
          <w:lang w:bidi="ar"/>
        </w:rPr>
        <w:t>概况</w:t>
      </w:r>
    </w:p>
    <w:p>
      <w:pPr>
        <w:pStyle w:val="4"/>
        <w:widowControl/>
        <w:adjustRightInd w:val="0"/>
        <w:spacing w:before="0" w:beforeAutospacing="0" w:after="0" w:afterAutospacing="0"/>
        <w:ind w:firstLine="640" w:firstLineChars="200"/>
        <w:jc w:val="both"/>
        <w:rPr>
          <w:rStyle w:val="7"/>
          <w:rFonts w:hint="eastAsia" w:ascii="Times New Roman" w:hAnsi="Times New Roman" w:eastAsia="黑体" w:cs="宋体"/>
          <w:b w:val="0"/>
          <w:bCs/>
          <w:color w:val="333333"/>
          <w:sz w:val="32"/>
          <w:szCs w:val="21"/>
        </w:rPr>
        <w:sectPr>
          <w:footerReference r:id="rId4" w:type="default"/>
          <w:pgSz w:w="11906" w:h="16838"/>
          <w:pgMar w:top="1440" w:right="1800" w:bottom="1440" w:left="1800" w:header="720" w:footer="720" w:gutter="0"/>
          <w:pgNumType w:fmt="numberInDash" w:start="1"/>
          <w:cols w:space="720" w:num="1"/>
          <w:docGrid w:type="lines" w:linePitch="312" w:charSpace="0"/>
        </w:sectPr>
      </w:pPr>
    </w:p>
    <w:p>
      <w:pPr>
        <w:pStyle w:val="4"/>
        <w:widowControl/>
        <w:adjustRightInd w:val="0"/>
        <w:spacing w:before="0" w:beforeAutospacing="0" w:after="0" w:afterAutospacing="0"/>
        <w:ind w:firstLine="640" w:firstLineChars="200"/>
        <w:jc w:val="both"/>
        <w:outlineLvl w:val="1"/>
        <w:rPr>
          <w:rStyle w:val="7"/>
          <w:rFonts w:hint="eastAsia" w:ascii="Times New Roman" w:hAnsi="Times New Roman" w:eastAsia="黑体" w:cs="宋体"/>
          <w:b w:val="0"/>
          <w:bCs/>
          <w:color w:val="333333"/>
          <w:sz w:val="32"/>
          <w:szCs w:val="21"/>
        </w:rPr>
      </w:pPr>
      <w:r>
        <w:rPr>
          <w:rStyle w:val="7"/>
          <w:rFonts w:hint="eastAsia" w:ascii="Times New Roman" w:hAnsi="Times New Roman" w:eastAsia="黑体" w:cs="宋体"/>
          <w:b w:val="0"/>
          <w:bCs/>
          <w:color w:val="333333"/>
          <w:sz w:val="32"/>
          <w:szCs w:val="21"/>
        </w:rPr>
        <w:t>一、基本职能及主要工作</w:t>
      </w:r>
    </w:p>
    <w:p>
      <w:pPr>
        <w:snapToGrid w:val="0"/>
        <w:spacing w:line="520" w:lineRule="exact"/>
        <w:ind w:firstLine="643" w:firstLineChars="200"/>
        <w:jc w:val="left"/>
        <w:rPr>
          <w:rFonts w:hint="eastAsia" w:ascii="Times New Roman" w:hAnsi="Times New Roman" w:eastAsia="楷体_GB2312"/>
          <w:b/>
          <w:sz w:val="32"/>
          <w:szCs w:val="32"/>
        </w:rPr>
      </w:pPr>
      <w:r>
        <w:rPr>
          <w:rFonts w:hint="eastAsia" w:ascii="Times New Roman" w:hAnsi="Times New Roman" w:eastAsia="楷体_GB2312"/>
          <w:b/>
          <w:sz w:val="32"/>
          <w:szCs w:val="32"/>
        </w:rPr>
        <w:t>（一）职能简介。</w:t>
      </w:r>
    </w:p>
    <w:p>
      <w:pPr>
        <w:snapToGrid w:val="0"/>
        <w:spacing w:line="520" w:lineRule="exact"/>
        <w:ind w:firstLine="640" w:firstLineChars="200"/>
        <w:jc w:val="left"/>
        <w:rPr>
          <w:rFonts w:hint="eastAsia" w:ascii="Times New Roman" w:hAnsi="Times New Roman" w:eastAsia="仿宋_GB2312" w:cs="仿宋_GB2312"/>
          <w:bCs/>
          <w:sz w:val="32"/>
          <w:szCs w:val="32"/>
          <w:u w:val="single"/>
        </w:rPr>
      </w:pPr>
      <w:r>
        <w:rPr>
          <w:rFonts w:hint="eastAsia" w:ascii="仿宋_GB2312" w:hAnsi="仿宋" w:eastAsia="仿宋_GB2312" w:cs="Times New Roman"/>
          <w:sz w:val="32"/>
          <w:szCs w:val="32"/>
          <w:lang w:val="en-US" w:eastAsia="zh-CN"/>
        </w:rPr>
        <w:t>乐山市奥林匹克学校</w:t>
      </w:r>
      <w:r>
        <w:rPr>
          <w:rFonts w:hint="eastAsia" w:ascii="仿宋_GB2312" w:hAnsi="仿宋" w:eastAsia="仿宋_GB2312"/>
          <w:sz w:val="32"/>
          <w:szCs w:val="32"/>
        </w:rPr>
        <w:t>主要职能</w:t>
      </w:r>
      <w:r>
        <w:rPr>
          <w:rFonts w:hint="eastAsia" w:ascii="仿宋_GB2312" w:hAnsi="仿宋" w:eastAsia="仿宋_GB2312" w:cs="Times New Roman"/>
          <w:sz w:val="32"/>
          <w:szCs w:val="32"/>
          <w:lang w:val="en-US" w:eastAsia="zh-CN"/>
        </w:rPr>
        <w:t>是全面贯彻党的体育教育方针，培养和输送高水平体育后备人才和社会体育人才，承担乐山市组队参加省运会和全国单项比赛任务</w:t>
      </w:r>
      <w:r>
        <w:rPr>
          <w:rFonts w:hint="eastAsia" w:ascii="仿宋_GB2312" w:hAnsi="仿宋" w:eastAsia="仿宋_GB2312"/>
          <w:sz w:val="32"/>
          <w:szCs w:val="32"/>
        </w:rPr>
        <w:t>。</w:t>
      </w:r>
    </w:p>
    <w:p>
      <w:pPr>
        <w:pStyle w:val="2"/>
        <w:adjustRightInd w:val="0"/>
        <w:spacing w:before="130" w:line="580" w:lineRule="exact"/>
        <w:ind w:firstLine="675" w:firstLineChars="210"/>
        <w:rPr>
          <w:rFonts w:hint="eastAsia" w:ascii="Times New Roman" w:hAnsi="Times New Roman" w:eastAsia="楷体_GB2312"/>
          <w:b/>
          <w:sz w:val="32"/>
          <w:szCs w:val="32"/>
        </w:rPr>
      </w:pPr>
      <w:r>
        <w:rPr>
          <w:rFonts w:hint="eastAsia" w:ascii="Times New Roman" w:hAnsi="Times New Roman" w:eastAsia="楷体_GB2312"/>
          <w:b/>
          <w:sz w:val="32"/>
          <w:szCs w:val="32"/>
        </w:rPr>
        <w:t>（二）202</w:t>
      </w:r>
      <w:r>
        <w:rPr>
          <w:rFonts w:hint="eastAsia" w:ascii="Times New Roman" w:hAnsi="Times New Roman" w:eastAsia="楷体_GB2312"/>
          <w:b/>
          <w:sz w:val="32"/>
          <w:szCs w:val="32"/>
          <w:lang w:val="en-US" w:eastAsia="zh-CN"/>
        </w:rPr>
        <w:t>4</w:t>
      </w:r>
      <w:r>
        <w:rPr>
          <w:rFonts w:hint="eastAsia" w:ascii="Times New Roman" w:hAnsi="Times New Roman" w:eastAsia="楷体_GB2312"/>
          <w:b/>
          <w:sz w:val="32"/>
          <w:szCs w:val="32"/>
        </w:rPr>
        <w:t>年重点工作。</w:t>
      </w:r>
    </w:p>
    <w:p>
      <w:pPr>
        <w:pStyle w:val="2"/>
        <w:adjustRightInd w:val="0"/>
        <w:spacing w:before="130" w:line="580" w:lineRule="exact"/>
        <w:ind w:firstLine="672" w:firstLineChars="21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完成基本教学工作，完成2024年省十五运会资格赛暨2024年省青少年锦标赛参赛工作。</w:t>
      </w:r>
    </w:p>
    <w:p>
      <w:pPr>
        <w:pStyle w:val="4"/>
        <w:widowControl/>
        <w:spacing w:before="0" w:beforeAutospacing="0" w:after="0" w:afterAutospacing="0" w:line="600" w:lineRule="exact"/>
        <w:ind w:firstLine="640" w:firstLineChars="200"/>
        <w:jc w:val="both"/>
        <w:outlineLvl w:val="1"/>
        <w:rPr>
          <w:rStyle w:val="7"/>
          <w:rFonts w:hint="eastAsia" w:ascii="Times New Roman" w:hAnsi="Times New Roman" w:eastAsia="黑体" w:cs="宋体"/>
          <w:b w:val="0"/>
          <w:bCs/>
          <w:color w:val="333333"/>
          <w:sz w:val="32"/>
          <w:szCs w:val="21"/>
        </w:rPr>
      </w:pPr>
      <w:r>
        <w:rPr>
          <w:rStyle w:val="7"/>
          <w:rFonts w:hint="eastAsia" w:ascii="Times New Roman" w:hAnsi="Times New Roman" w:eastAsia="黑体" w:cs="宋体"/>
          <w:b w:val="0"/>
          <w:bCs/>
          <w:color w:val="333333"/>
          <w:sz w:val="32"/>
          <w:szCs w:val="21"/>
        </w:rPr>
        <w:t>二、</w:t>
      </w:r>
      <w:r>
        <w:rPr>
          <w:rStyle w:val="7"/>
          <w:rFonts w:hint="eastAsia" w:ascii="Times New Roman" w:hAnsi="Times New Roman" w:eastAsia="黑体" w:cs="宋体"/>
          <w:b w:val="0"/>
          <w:bCs/>
          <w:color w:val="333333"/>
          <w:sz w:val="32"/>
          <w:szCs w:val="21"/>
          <w:lang w:eastAsia="zh-CN"/>
        </w:rPr>
        <w:t>单位</w:t>
      </w:r>
      <w:r>
        <w:rPr>
          <w:rStyle w:val="7"/>
          <w:rFonts w:hint="eastAsia" w:ascii="Times New Roman" w:hAnsi="Times New Roman" w:eastAsia="黑体" w:cs="宋体"/>
          <w:b w:val="0"/>
          <w:bCs/>
          <w:color w:val="333333"/>
          <w:sz w:val="32"/>
          <w:szCs w:val="21"/>
        </w:rPr>
        <w:t>预算单位构成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乐山市奥林匹克学校系全额拨款事业单位，隶属于乐山职业技术学院。</w:t>
      </w: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outlineLvl w:val="0"/>
        <w:rPr>
          <w:rFonts w:hint="eastAsia" w:ascii="Times New Roman" w:hAnsi="Times New Roman" w:eastAsia="方正小标宋简体" w:cs="方正小标宋简体"/>
          <w:sz w:val="52"/>
          <w:szCs w:val="52"/>
          <w:lang w:eastAsia="zh-CN" w:bidi="ar"/>
        </w:rPr>
      </w:pPr>
      <w:r>
        <w:rPr>
          <w:rFonts w:hint="eastAsia" w:ascii="Times New Roman" w:hAnsi="Times New Roman" w:eastAsia="方正小标宋简体" w:cs="方正小标宋简体"/>
          <w:sz w:val="52"/>
          <w:szCs w:val="52"/>
          <w:lang w:bidi="ar"/>
        </w:rPr>
        <w:t xml:space="preserve">第二部分 </w:t>
      </w:r>
      <w:r>
        <w:rPr>
          <w:rFonts w:hint="eastAsia" w:ascii="Times New Roman" w:hAnsi="Times New Roman" w:eastAsia="方正小标宋简体" w:cs="方正小标宋简体"/>
          <w:sz w:val="52"/>
          <w:szCs w:val="52"/>
          <w:lang w:val="en-US" w:eastAsia="zh-CN" w:bidi="ar"/>
        </w:rPr>
        <w:t>乐山市奥林匹克学校</w:t>
      </w:r>
    </w:p>
    <w:p>
      <w:pPr>
        <w:pStyle w:val="4"/>
        <w:widowControl/>
        <w:spacing w:before="0" w:beforeAutospacing="0" w:after="0" w:afterAutospacing="0"/>
        <w:jc w:val="center"/>
        <w:outlineLvl w:val="1"/>
        <w:rPr>
          <w:rFonts w:hint="eastAsia" w:ascii="Times New Roman" w:hAnsi="Times New Roman" w:eastAsia="方正小标宋简体" w:cs="方正小标宋简体"/>
          <w:sz w:val="36"/>
          <w:szCs w:val="36"/>
          <w:lang w:bidi="ar"/>
        </w:rPr>
      </w:pPr>
      <w:r>
        <w:rPr>
          <w:rFonts w:hint="eastAsia" w:ascii="Times New Roman" w:hAnsi="Times New Roman" w:eastAsia="方正小标宋简体" w:cs="方正小标宋简体"/>
          <w:sz w:val="52"/>
          <w:szCs w:val="52"/>
          <w:lang w:bidi="ar"/>
        </w:rPr>
        <w:t>202</w:t>
      </w:r>
      <w:r>
        <w:rPr>
          <w:rFonts w:hint="eastAsia" w:ascii="Times New Roman" w:hAnsi="Times New Roman" w:eastAsia="方正小标宋简体" w:cs="方正小标宋简体"/>
          <w:sz w:val="52"/>
          <w:szCs w:val="52"/>
          <w:lang w:val="en-US" w:eastAsia="zh-CN" w:bidi="ar"/>
        </w:rPr>
        <w:t>4</w:t>
      </w:r>
      <w:r>
        <w:rPr>
          <w:rFonts w:hint="eastAsia" w:ascii="Times New Roman" w:hAnsi="Times New Roman" w:eastAsia="方正小标宋简体" w:cs="方正小标宋简体"/>
          <w:sz w:val="52"/>
          <w:szCs w:val="52"/>
          <w:lang w:bidi="ar"/>
        </w:rPr>
        <w:t>年</w:t>
      </w:r>
      <w:r>
        <w:rPr>
          <w:rFonts w:hint="eastAsia" w:ascii="Times New Roman" w:hAnsi="Times New Roman" w:eastAsia="方正小标宋简体" w:cs="方正小标宋简体"/>
          <w:sz w:val="52"/>
          <w:szCs w:val="52"/>
          <w:lang w:eastAsia="zh-CN" w:bidi="ar"/>
        </w:rPr>
        <w:t>单位</w:t>
      </w:r>
      <w:r>
        <w:rPr>
          <w:rFonts w:hint="eastAsia" w:ascii="Times New Roman" w:hAnsi="Times New Roman" w:eastAsia="方正小标宋简体" w:cs="方正小标宋简体"/>
          <w:sz w:val="52"/>
          <w:szCs w:val="52"/>
          <w:lang w:bidi="ar"/>
        </w:rPr>
        <w:t>预算表</w:t>
      </w:r>
    </w:p>
    <w:p>
      <w:pPr>
        <w:pStyle w:val="4"/>
        <w:widowControl/>
        <w:spacing w:before="450" w:beforeAutospacing="0" w:after="0" w:afterAutospacing="0" w:line="360" w:lineRule="atLeast"/>
        <w:ind w:left="420"/>
        <w:jc w:val="both"/>
        <w:rPr>
          <w:rFonts w:hint="eastAsia" w:ascii="Times New Roman" w:hAnsi="Times New Roman" w:eastAsia="仿宋_GB2312" w:cs="仿宋_GB2312"/>
          <w:color w:val="333333"/>
          <w:sz w:val="32"/>
          <w:szCs w:val="32"/>
        </w:rPr>
        <w:sectPr>
          <w:footerReference r:id="rId5" w:type="default"/>
          <w:pgSz w:w="11906" w:h="16838"/>
          <w:pgMar w:top="1440" w:right="1800" w:bottom="1440" w:left="1800" w:header="720" w:footer="720" w:gutter="0"/>
          <w:pgNumType w:fmt="numberInDash" w:start="1"/>
          <w:cols w:space="720" w:num="1"/>
          <w:docGrid w:type="lines" w:linePitch="312" w:charSpace="0"/>
        </w:sectPr>
      </w:pPr>
    </w:p>
    <w:p>
      <w:pPr>
        <w:pStyle w:val="4"/>
        <w:widowControl/>
        <w:spacing w:before="450" w:beforeAutospacing="0" w:after="0" w:afterAutospacing="0" w:line="360" w:lineRule="atLeast"/>
        <w:ind w:left="420"/>
        <w:jc w:val="both"/>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（插入本</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预算公开表，由附件1-3依序组成）</w:t>
      </w:r>
    </w:p>
    <w:p>
      <w:pPr>
        <w:pStyle w:val="4"/>
        <w:widowControl/>
        <w:numPr>
          <w:ilvl w:val="0"/>
          <w:numId w:val="2"/>
        </w:numPr>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收支总表（公开表1）</w:t>
      </w:r>
    </w:p>
    <w:tbl>
      <w:tblPr>
        <w:tblStyle w:val="5"/>
        <w:tblW w:w="8336" w:type="dxa"/>
        <w:tblInd w:w="0" w:type="dxa"/>
        <w:shd w:val="clear" w:color="auto" w:fill="auto"/>
        <w:tblLayout w:type="autofit"/>
        <w:tblCellMar>
          <w:top w:w="0" w:type="dxa"/>
          <w:left w:w="0" w:type="dxa"/>
          <w:bottom w:w="0" w:type="dxa"/>
          <w:right w:w="0" w:type="dxa"/>
        </w:tblCellMar>
      </w:tblPr>
      <w:tblGrid>
        <w:gridCol w:w="2200"/>
        <w:gridCol w:w="878"/>
        <w:gridCol w:w="2200"/>
        <w:gridCol w:w="3058"/>
      </w:tblGrid>
      <w:tr>
        <w:tblPrEx>
          <w:shd w:val="clear" w:color="auto" w:fill="auto"/>
          <w:tblCellMar>
            <w:top w:w="0" w:type="dxa"/>
            <w:left w:w="0" w:type="dxa"/>
            <w:bottom w:w="0" w:type="dxa"/>
            <w:right w:w="0" w:type="dxa"/>
          </w:tblCellMar>
        </w:tblPrEx>
        <w:trPr>
          <w:trHeight w:val="531" w:hRule="atLeast"/>
        </w:trPr>
        <w:tc>
          <w:tcPr>
            <w:tcW w:w="8336" w:type="dxa"/>
            <w:gridSpan w:val="4"/>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单位收支总表</w:t>
            </w:r>
          </w:p>
        </w:tc>
      </w:tr>
      <w:tr>
        <w:tblPrEx>
          <w:tblCellMar>
            <w:top w:w="0" w:type="dxa"/>
            <w:left w:w="0" w:type="dxa"/>
            <w:bottom w:w="0" w:type="dxa"/>
            <w:right w:w="0" w:type="dxa"/>
          </w:tblCellMar>
        </w:tblPrEx>
        <w:trPr>
          <w:trHeight w:val="339" w:hRule="atLeast"/>
        </w:trPr>
        <w:tc>
          <w:tcPr>
            <w:tcW w:w="2200"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8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00" w:type="dxa"/>
            <w:tcBorders>
              <w:top w:val="nil"/>
              <w:left w:val="nil"/>
              <w:bottom w:val="nil"/>
              <w:right w:val="nil"/>
            </w:tcBorders>
            <w:shd w:val="clear" w:color="auto" w:fill="auto"/>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3058"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15" w:hRule="atLeast"/>
        </w:trPr>
        <w:tc>
          <w:tcPr>
            <w:tcW w:w="3078" w:type="dxa"/>
            <w:gridSpan w:val="2"/>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5258" w:type="dxa"/>
            <w:gridSpan w:val="2"/>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415" w:hRule="atLeast"/>
        </w:trPr>
        <w:tc>
          <w:tcPr>
            <w:tcW w:w="2200" w:type="dxa"/>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878" w:type="dxa"/>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2200" w:type="dxa"/>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3058" w:type="dxa"/>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 xml:space="preserve">一、一般公共预算拨款收入 </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一、一般公共服务支出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 xml:space="preserve">二、政府性基金预算拨款收入 </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二、外交支出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 xml:space="preserve">三、国有资本经营预算拨款收入 </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三、国防支出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 xml:space="preserve">四、事业收入 </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四、公共安全支出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 xml:space="preserve">五、事业单位经营收入 </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五、教育支出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507.35</w:t>
            </w: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 xml:space="preserve">六、其他收入 </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六、科学技术支出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七、文化旅游体育与传媒支出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八、社会保障和就业支出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九、社会保险基金支出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十、卫生健康支出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十一、节能环保支出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十二、城乡社区支出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十三、农林水支出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十四、交通运输支出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十五、资源勘探工业信息等支出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十六、商业服务业等支出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十七、金融支出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十八、援助其他地区支出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十九、自然资源海洋气象等支出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二十、住房保障支出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二十一、粮油物资储备支出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二十二、国有资本经营预算支出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二十三、灾害防治及应急管理支出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二十四、预备费</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二十五、其他支出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二十六、转移性支出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二十七、债务还本支出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二十八、债务付息支出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二十九、债务发行费用支出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4"/>
                <w:lang w:val="en-US" w:eastAsia="zh-CN" w:bidi="ar"/>
              </w:rPr>
              <w:t>三十、抗疫特别国债安排的支出</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15"/>
                <w:lang w:val="en-US" w:eastAsia="zh-CN" w:bidi="ar"/>
              </w:rPr>
              <w:t>本 年 收 入 合 计</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684.50</w:t>
            </w: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15"/>
                <w:lang w:val="en-US" w:eastAsia="zh-CN" w:bidi="ar"/>
              </w:rPr>
              <w:t>本 年 支 出 合 计</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684.50</w:t>
            </w: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七、用事业基金弥补收支差额</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三十一、事业单位结余分配 </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八、上年结转</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其中：转入事业基金</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31"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878" w:type="dxa"/>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三十二、结转下年</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8" w:hRule="atLeast"/>
        </w:trPr>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  总  计</w:t>
            </w:r>
          </w:p>
        </w:tc>
        <w:tc>
          <w:tcPr>
            <w:tcW w:w="87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684.50</w:t>
            </w:r>
          </w:p>
        </w:tc>
        <w:tc>
          <w:tcPr>
            <w:tcW w:w="2200"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  总  计</w:t>
            </w:r>
          </w:p>
        </w:tc>
        <w:tc>
          <w:tcPr>
            <w:tcW w:w="3058" w:type="dxa"/>
            <w:tcBorders>
              <w:top w:val="single" w:color="C0C0C0" w:sz="4" w:space="0"/>
              <w:left w:val="single" w:color="C0C0C0" w:sz="4" w:space="0"/>
              <w:bottom w:val="single" w:color="C0C0C0" w:sz="4" w:space="0"/>
              <w:right w:val="single" w:color="C0C0C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684.50</w:t>
            </w: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收入总表（公开表1-1）</w:t>
      </w:r>
    </w:p>
    <w:tbl>
      <w:tblPr>
        <w:tblStyle w:val="5"/>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2"/>
        <w:gridCol w:w="777"/>
        <w:gridCol w:w="447"/>
        <w:gridCol w:w="1582"/>
        <w:gridCol w:w="623"/>
        <w:gridCol w:w="623"/>
        <w:gridCol w:w="623"/>
        <w:gridCol w:w="623"/>
        <w:gridCol w:w="623"/>
        <w:gridCol w:w="623"/>
        <w:gridCol w:w="623"/>
        <w:gridCol w:w="623"/>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9060" w:type="dxa"/>
            <w:gridSpan w:val="13"/>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419" w:type="dxa"/>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447"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82"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8" w:type="dxa"/>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419"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447"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8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一般公共预算拨款收入</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国有资本经营预算拨款收入</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事业单位经营收入 </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62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62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4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777"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447"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8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4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77"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447"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8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62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4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44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582"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8"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642"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77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乐山市奥林匹克学校</w:t>
            </w:r>
          </w:p>
        </w:tc>
        <w:tc>
          <w:tcPr>
            <w:tcW w:w="44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582"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3"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28"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bl>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支出总表（公开表1-2）</w:t>
      </w:r>
    </w:p>
    <w:tbl>
      <w:tblPr>
        <w:tblStyle w:val="5"/>
        <w:tblW w:w="8940" w:type="dxa"/>
        <w:tblInd w:w="0" w:type="dxa"/>
        <w:shd w:val="clear" w:color="auto" w:fill="auto"/>
        <w:tblLayout w:type="fixed"/>
        <w:tblCellMar>
          <w:top w:w="0" w:type="dxa"/>
          <w:left w:w="0" w:type="dxa"/>
          <w:bottom w:w="0" w:type="dxa"/>
          <w:right w:w="0" w:type="dxa"/>
        </w:tblCellMar>
      </w:tblPr>
      <w:tblGrid>
        <w:gridCol w:w="316"/>
        <w:gridCol w:w="223"/>
        <w:gridCol w:w="224"/>
        <w:gridCol w:w="597"/>
        <w:gridCol w:w="1370"/>
        <w:gridCol w:w="965"/>
        <w:gridCol w:w="1256"/>
        <w:gridCol w:w="1083"/>
        <w:gridCol w:w="973"/>
        <w:gridCol w:w="1933"/>
      </w:tblGrid>
      <w:tr>
        <w:tblPrEx>
          <w:shd w:val="clear" w:color="auto" w:fill="auto"/>
          <w:tblCellMar>
            <w:top w:w="0" w:type="dxa"/>
            <w:left w:w="0" w:type="dxa"/>
            <w:bottom w:w="0" w:type="dxa"/>
            <w:right w:w="0" w:type="dxa"/>
          </w:tblCellMar>
        </w:tblPrEx>
        <w:trPr>
          <w:trHeight w:val="715" w:hRule="atLeast"/>
        </w:trPr>
        <w:tc>
          <w:tcPr>
            <w:tcW w:w="8940" w:type="dxa"/>
            <w:gridSpan w:val="10"/>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单位支出总表</w:t>
            </w:r>
          </w:p>
        </w:tc>
      </w:tr>
      <w:tr>
        <w:tblPrEx>
          <w:tblCellMar>
            <w:top w:w="0" w:type="dxa"/>
            <w:left w:w="0" w:type="dxa"/>
            <w:bottom w:w="0" w:type="dxa"/>
            <w:right w:w="0" w:type="dxa"/>
          </w:tblCellMar>
        </w:tblPrEx>
        <w:trPr>
          <w:trHeight w:val="474" w:hRule="atLeast"/>
        </w:trPr>
        <w:tc>
          <w:tcPr>
            <w:tcW w:w="2730" w:type="dxa"/>
            <w:gridSpan w:val="5"/>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965"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1256"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1083"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973"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1933"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575" w:hRule="atLeast"/>
        </w:trPr>
        <w:tc>
          <w:tcPr>
            <w:tcW w:w="2730" w:type="dxa"/>
            <w:gridSpan w:val="5"/>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965"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合计</w:t>
            </w:r>
          </w:p>
        </w:tc>
        <w:tc>
          <w:tcPr>
            <w:tcW w:w="1256"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基本支出</w:t>
            </w:r>
          </w:p>
        </w:tc>
        <w:tc>
          <w:tcPr>
            <w:tcW w:w="1083"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项目支出</w:t>
            </w:r>
          </w:p>
        </w:tc>
        <w:tc>
          <w:tcPr>
            <w:tcW w:w="973"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上缴上级支出</w:t>
            </w:r>
          </w:p>
        </w:tc>
        <w:tc>
          <w:tcPr>
            <w:tcW w:w="1933"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660" w:hRule="atLeast"/>
        </w:trPr>
        <w:tc>
          <w:tcPr>
            <w:tcW w:w="763"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597"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单位代码</w:t>
            </w:r>
          </w:p>
        </w:tc>
        <w:tc>
          <w:tcPr>
            <w:tcW w:w="1370"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965"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pPr>
          </w:p>
        </w:tc>
        <w:tc>
          <w:tcPr>
            <w:tcW w:w="1256"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pPr>
          </w:p>
        </w:tc>
        <w:tc>
          <w:tcPr>
            <w:tcW w:w="108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7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pPr>
          </w:p>
        </w:tc>
        <w:tc>
          <w:tcPr>
            <w:tcW w:w="193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75" w:hRule="atLeast"/>
        </w:trPr>
        <w:tc>
          <w:tcPr>
            <w:tcW w:w="316" w:type="dxa"/>
            <w:tcBorders>
              <w:top w:val="single" w:color="C2C3C4" w:sz="4" w:space="0"/>
              <w:left w:val="single" w:color="C2C3C4" w:sz="4" w:space="0"/>
              <w:bottom w:val="nil"/>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23" w:type="dxa"/>
            <w:tcBorders>
              <w:top w:val="single" w:color="C2C3C4" w:sz="4" w:space="0"/>
              <w:left w:val="single" w:color="C2C3C4" w:sz="4" w:space="0"/>
              <w:bottom w:val="nil"/>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款</w:t>
            </w:r>
          </w:p>
        </w:tc>
        <w:tc>
          <w:tcPr>
            <w:tcW w:w="224" w:type="dxa"/>
            <w:tcBorders>
              <w:top w:val="single" w:color="C2C3C4" w:sz="4" w:space="0"/>
              <w:left w:val="single" w:color="C2C3C4" w:sz="4" w:space="0"/>
              <w:bottom w:val="nil"/>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项</w:t>
            </w:r>
          </w:p>
        </w:tc>
        <w:tc>
          <w:tcPr>
            <w:tcW w:w="597" w:type="dxa"/>
            <w:vMerge w:val="continue"/>
            <w:tcBorders>
              <w:top w:val="single" w:color="C2C3C4" w:sz="4" w:space="0"/>
              <w:left w:val="single" w:color="C2C3C4" w:sz="4" w:space="0"/>
              <w:bottom w:val="nil"/>
              <w:right w:val="single" w:color="C2C3C4" w:sz="4" w:space="0"/>
            </w:tcBorders>
            <w:shd w:val="clear" w:color="EFF2F7" w:fill="EFF2F7"/>
            <w:noWrap/>
            <w:tcMar>
              <w:top w:w="15" w:type="dxa"/>
              <w:left w:w="15" w:type="dxa"/>
              <w:right w:w="15" w:type="dxa"/>
            </w:tcMar>
            <w:vAlign w:val="center"/>
          </w:tcPr>
          <w:p>
            <w:pPr>
              <w:jc w:val="center"/>
            </w:pPr>
          </w:p>
        </w:tc>
        <w:tc>
          <w:tcPr>
            <w:tcW w:w="1370" w:type="dxa"/>
            <w:vMerge w:val="continue"/>
            <w:tcBorders>
              <w:top w:val="single" w:color="C2C3C4" w:sz="4" w:space="0"/>
              <w:left w:val="single" w:color="C2C3C4" w:sz="4" w:space="0"/>
              <w:bottom w:val="nil"/>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65"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56"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pPr>
          </w:p>
        </w:tc>
        <w:tc>
          <w:tcPr>
            <w:tcW w:w="108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7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pPr>
          </w:p>
        </w:tc>
        <w:tc>
          <w:tcPr>
            <w:tcW w:w="193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60" w:hRule="atLeast"/>
        </w:trPr>
        <w:tc>
          <w:tcPr>
            <w:tcW w:w="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646.70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60" w:hRule="atLeast"/>
        </w:trPr>
        <w:tc>
          <w:tcPr>
            <w:tcW w:w="316"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3"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pPr>
          </w:p>
        </w:tc>
        <w:tc>
          <w:tcPr>
            <w:tcW w:w="224"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pPr>
          </w:p>
        </w:tc>
        <w:tc>
          <w:tcPr>
            <w:tcW w:w="597"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pPr>
          </w:p>
        </w:tc>
        <w:tc>
          <w:tcPr>
            <w:tcW w:w="13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乐山市奥林匹克学校</w:t>
            </w:r>
          </w:p>
        </w:tc>
        <w:tc>
          <w:tcPr>
            <w:tcW w:w="96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256"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646.70</w:t>
            </w:r>
          </w:p>
        </w:tc>
        <w:tc>
          <w:tcPr>
            <w:tcW w:w="1083"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973"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7" w:hRule="atLeast"/>
        </w:trPr>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02</w:t>
            </w:r>
          </w:p>
        </w:tc>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03</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初中教育</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507.35</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469.55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5" w:hRule="atLeast"/>
        </w:trPr>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05</w:t>
            </w:r>
          </w:p>
        </w:tc>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05</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64.48</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5" w:hRule="atLeast"/>
        </w:trPr>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05</w:t>
            </w:r>
          </w:p>
        </w:tc>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06</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机关事业单位职业年金缴费支出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32.24</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99</w:t>
            </w:r>
          </w:p>
        </w:tc>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99</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其他社会保障和就业支出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8.28</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70" w:hRule="atLeast"/>
        </w:trPr>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11</w:t>
            </w:r>
          </w:p>
        </w:tc>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02</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事业单位医疗</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20.60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财政拨</w:t>
      </w:r>
    </w:p>
    <w:tbl>
      <w:tblPr>
        <w:tblStyle w:val="5"/>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9"/>
        <w:gridCol w:w="644"/>
        <w:gridCol w:w="1524"/>
        <w:gridCol w:w="2111"/>
        <w:gridCol w:w="1189"/>
        <w:gridCol w:w="1264"/>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9120" w:type="dxa"/>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683" w:type="dxa"/>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152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1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8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49" w:type="dxa"/>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683"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7437" w:type="dxa"/>
            <w:gridSpan w:val="5"/>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644"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1524"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2111"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189"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1264"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w:t>
            </w:r>
          </w:p>
        </w:tc>
        <w:tc>
          <w:tcPr>
            <w:tcW w:w="1349"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52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一般公共预算拨款收入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一般公共服务支出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政府性基金预算拨款收入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外交支出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国有资本经营预算拨款收入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国防支出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一、上年结转</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公共安全支出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一般公共预算拨款收入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教育支出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507.35</w:t>
            </w: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507.35</w:t>
            </w: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政府性基金预算拨款收入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科学技术支出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国有资本经营预算拨款收入</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文化旅游体育与传媒支出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社会保障和就业支出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社会保险基金支出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卫生健康支出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节能环保支出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城乡社区支出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农林水支出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交通运输支出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资源勘探工业信息等支出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商业服务业等支出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金融支出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援助其他地区支出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自然资源海洋气象等支出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住房保障支出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粮油物资储备支出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国有资本经营预算支出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灾害防治及应急管理支出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债务还本支出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债务付息支出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债务发行费用支出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3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6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抗疫特别国债安排的支出</w:t>
            </w:r>
          </w:p>
        </w:tc>
        <w:tc>
          <w:tcPr>
            <w:tcW w:w="211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五、财政拨款支出预算表（</w:t>
      </w:r>
      <w:r>
        <w:rPr>
          <w:rFonts w:hint="eastAsia" w:ascii="Times New Roman" w:hAnsi="Times New Roman" w:eastAsia="仿宋_GB2312" w:cs="仿宋_GB2312"/>
          <w:color w:val="333333"/>
          <w:sz w:val="32"/>
          <w:szCs w:val="32"/>
          <w:lang w:eastAsia="zh-CN"/>
        </w:rPr>
        <w:t>单位</w:t>
      </w:r>
      <w:r>
        <w:rPr>
          <w:rFonts w:hint="eastAsia" w:ascii="Times New Roman" w:hAnsi="Times New Roman" w:eastAsia="仿宋_GB2312" w:cs="仿宋_GB2312"/>
          <w:color w:val="333333"/>
          <w:sz w:val="32"/>
          <w:szCs w:val="32"/>
        </w:rPr>
        <w:t>经济分类科目）（公开</w:t>
      </w:r>
    </w:p>
    <w:tbl>
      <w:tblPr>
        <w:tblStyle w:val="5"/>
        <w:tblW w:w="10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4"/>
        <w:gridCol w:w="413"/>
        <w:gridCol w:w="531"/>
        <w:gridCol w:w="1375"/>
        <w:gridCol w:w="682"/>
        <w:gridCol w:w="643"/>
        <w:gridCol w:w="1860"/>
        <w:gridCol w:w="894"/>
        <w:gridCol w:w="860"/>
        <w:gridCol w:w="612"/>
        <w:gridCol w:w="850"/>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10080" w:type="dxa"/>
            <w:gridSpan w:val="12"/>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财政拨款支出预算表（部门经济分类科目）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2803" w:type="dxa"/>
            <w:gridSpan w:val="4"/>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68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3"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60" w:type="dxa"/>
            <w:tcBorders>
              <w:top w:val="single" w:color="FFFFFF" w:sz="4" w:space="0"/>
              <w:left w:val="single" w:color="FFFFFF" w:sz="4" w:space="0"/>
              <w:bottom w:val="nil"/>
              <w:right w:val="single" w:color="FFFFFF"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6"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803" w:type="dxa"/>
            <w:gridSpan w:val="4"/>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682"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95" w:type="dxa"/>
            <w:gridSpan w:val="7"/>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省级当年财政拨款安排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97"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531"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1375"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682"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3"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3614" w:type="dxa"/>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w:t>
            </w:r>
          </w:p>
        </w:tc>
        <w:tc>
          <w:tcPr>
            <w:tcW w:w="2338" w:type="dxa"/>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84"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413"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531"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375"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82"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3"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894"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860"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612"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850"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876"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1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7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646.70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乐山市奥林匹克学校</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646.70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工资福利支出</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617.97</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617.97</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617.97</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580.17</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基本工资</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201.67</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201.67</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201.67</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201.67</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02</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津贴补贴</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02</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地方津贴补贴</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绩效工资</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118.27</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118.27</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118.27</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118.27</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基础性绩效工资</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奖励性绩效工资</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43.27</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43.27</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43.27</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43.27</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08</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职业年金缴费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10</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职工基本医疗保险缴费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其他社会保障缴费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工伤保险</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失业保险</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残疾人就业保障金</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住房公积金</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其他工资福利支出</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115.02</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115.02</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115.02</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事业平时绩效工资</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其他工资福利支出</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商品和服务支出</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日常办公用品</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书报杂志</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水费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办公卫生用水</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饮用水</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其他水费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06</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电费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06</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办公用电费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邮电费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网络通讯费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差旅城市间交通费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差旅住宿费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差旅伙食补助费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差旅公杂费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维修（护）费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办公设备维修（护）费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零星维修（护）费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26</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劳务费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26</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其他劳务费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28</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28</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工会经费（比例）</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28</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工会经费（补充）</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福利费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公务用车运行维护费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燃料费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维修费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过路过桥费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31</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保险费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其他商品和服务支出</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离退休人员活动费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484"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41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31"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323303</w:t>
            </w:r>
          </w:p>
        </w:tc>
        <w:tc>
          <w:tcPr>
            <w:tcW w:w="13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午餐补助费</w:t>
            </w:r>
          </w:p>
        </w:tc>
        <w:tc>
          <w:tcPr>
            <w:tcW w:w="68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w:t>
            </w:r>
          </w:p>
        </w:tc>
        <w:tc>
          <w:tcPr>
            <w:tcW w:w="64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w:t>
            </w:r>
          </w:p>
        </w:tc>
        <w:tc>
          <w:tcPr>
            <w:tcW w:w="8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w:t>
            </w:r>
          </w:p>
        </w:tc>
        <w:tc>
          <w:tcPr>
            <w:tcW w:w="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4"/>
        <w:widowControl/>
        <w:spacing w:before="0" w:beforeAutospacing="0" w:after="0" w:afterAutospacing="0" w:line="600" w:lineRule="exact"/>
        <w:ind w:firstLine="1280" w:firstLineChars="4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line="600" w:lineRule="exact"/>
        <w:jc w:val="both"/>
        <w:rPr>
          <w:rFonts w:hint="eastAsia" w:ascii="Times New Roman" w:hAnsi="Times New Roman" w:eastAsia="仿宋_GB2312" w:cs="仿宋_GB2312"/>
          <w:color w:val="333333"/>
          <w:sz w:val="32"/>
          <w:szCs w:val="32"/>
        </w:rPr>
      </w:pPr>
    </w:p>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一般公共预算支出预算表（公开表3）</w:t>
      </w:r>
    </w:p>
    <w:tbl>
      <w:tblPr>
        <w:tblStyle w:val="5"/>
        <w:tblW w:w="10155" w:type="dxa"/>
        <w:tblInd w:w="0" w:type="dxa"/>
        <w:shd w:val="clear" w:color="auto" w:fill="auto"/>
        <w:tblLayout w:type="fixed"/>
        <w:tblCellMar>
          <w:top w:w="0" w:type="dxa"/>
          <w:left w:w="0" w:type="dxa"/>
          <w:bottom w:w="0" w:type="dxa"/>
          <w:right w:w="0" w:type="dxa"/>
        </w:tblCellMar>
      </w:tblPr>
      <w:tblGrid>
        <w:gridCol w:w="360"/>
        <w:gridCol w:w="251"/>
        <w:gridCol w:w="251"/>
        <w:gridCol w:w="360"/>
        <w:gridCol w:w="2063"/>
        <w:gridCol w:w="1293"/>
        <w:gridCol w:w="1250"/>
        <w:gridCol w:w="4327"/>
      </w:tblGrid>
      <w:tr>
        <w:tblPrEx>
          <w:shd w:val="clear" w:color="auto" w:fill="auto"/>
          <w:tblCellMar>
            <w:top w:w="0" w:type="dxa"/>
            <w:left w:w="0" w:type="dxa"/>
            <w:bottom w:w="0" w:type="dxa"/>
            <w:right w:w="0" w:type="dxa"/>
          </w:tblCellMar>
        </w:tblPrEx>
        <w:trPr>
          <w:trHeight w:val="653" w:hRule="atLeast"/>
        </w:trPr>
        <w:tc>
          <w:tcPr>
            <w:tcW w:w="10155" w:type="dxa"/>
            <w:gridSpan w:val="8"/>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一般公共预算支出预算表</w:t>
            </w:r>
          </w:p>
        </w:tc>
      </w:tr>
      <w:tr>
        <w:tblPrEx>
          <w:tblCellMar>
            <w:top w:w="0" w:type="dxa"/>
            <w:left w:w="0" w:type="dxa"/>
            <w:bottom w:w="0" w:type="dxa"/>
            <w:right w:w="0" w:type="dxa"/>
          </w:tblCellMar>
        </w:tblPrEx>
        <w:trPr>
          <w:trHeight w:val="427" w:hRule="atLeast"/>
        </w:trPr>
        <w:tc>
          <w:tcPr>
            <w:tcW w:w="3285" w:type="dxa"/>
            <w:gridSpan w:val="5"/>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1293"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1250"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4327"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522" w:hRule="atLeast"/>
        </w:trPr>
        <w:tc>
          <w:tcPr>
            <w:tcW w:w="3285" w:type="dxa"/>
            <w:gridSpan w:val="5"/>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合计</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当年财政拨款安排</w:t>
            </w:r>
          </w:p>
        </w:tc>
        <w:tc>
          <w:tcPr>
            <w:tcW w:w="4327" w:type="dxa"/>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上年结转安排</w:t>
            </w:r>
          </w:p>
        </w:tc>
      </w:tr>
      <w:tr>
        <w:tblPrEx>
          <w:tblCellMar>
            <w:top w:w="0" w:type="dxa"/>
            <w:left w:w="0" w:type="dxa"/>
            <w:bottom w:w="0" w:type="dxa"/>
            <w:right w:w="0" w:type="dxa"/>
          </w:tblCellMar>
        </w:tblPrEx>
        <w:trPr>
          <w:trHeight w:val="641" w:hRule="atLeast"/>
        </w:trPr>
        <w:tc>
          <w:tcPr>
            <w:tcW w:w="862" w:type="dxa"/>
            <w:gridSpan w:val="3"/>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单位代码</w:t>
            </w:r>
          </w:p>
        </w:tc>
        <w:tc>
          <w:tcPr>
            <w:tcW w:w="2063" w:type="dxa"/>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1293"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pPr>
          </w:p>
        </w:tc>
        <w:tc>
          <w:tcPr>
            <w:tcW w:w="4327"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16" w:hRule="atLeast"/>
        </w:trPr>
        <w:tc>
          <w:tcPr>
            <w:tcW w:w="360"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51"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款</w:t>
            </w:r>
          </w:p>
        </w:tc>
        <w:tc>
          <w:tcPr>
            <w:tcW w:w="251"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项</w:t>
            </w:r>
          </w:p>
        </w:tc>
        <w:tc>
          <w:tcPr>
            <w:tcW w:w="360"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pPr>
          </w:p>
        </w:tc>
        <w:tc>
          <w:tcPr>
            <w:tcW w:w="4327" w:type="dxa"/>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59"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684.50</w:t>
            </w:r>
          </w:p>
        </w:tc>
        <w:tc>
          <w:tcPr>
            <w:tcW w:w="4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59" w:hRule="atLeast"/>
        </w:trPr>
        <w:tc>
          <w:tcPr>
            <w:tcW w:w="36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1"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pPr>
          </w:p>
        </w:tc>
        <w:tc>
          <w:tcPr>
            <w:tcW w:w="251"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pPr>
          </w:p>
        </w:tc>
        <w:tc>
          <w:tcPr>
            <w:tcW w:w="36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pPr>
          </w:p>
        </w:tc>
        <w:tc>
          <w:tcPr>
            <w:tcW w:w="2063"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乐山市奥林匹克学校</w:t>
            </w:r>
          </w:p>
        </w:tc>
        <w:tc>
          <w:tcPr>
            <w:tcW w:w="1293"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684.50</w:t>
            </w:r>
          </w:p>
        </w:tc>
        <w:tc>
          <w:tcPr>
            <w:tcW w:w="125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684.50</w:t>
            </w:r>
          </w:p>
        </w:tc>
        <w:tc>
          <w:tcPr>
            <w:tcW w:w="4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9"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02</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03</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w:t>
            </w: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初中教育</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507.35</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507.35</w:t>
            </w:r>
          </w:p>
        </w:tc>
        <w:tc>
          <w:tcPr>
            <w:tcW w:w="4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05</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05</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w:t>
            </w: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机关事业单位基本养老保险缴费支出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64.48</w:t>
            </w:r>
          </w:p>
        </w:tc>
        <w:tc>
          <w:tcPr>
            <w:tcW w:w="4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05</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06</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w:t>
            </w: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机关事业单位职业年金缴费支出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32.24</w:t>
            </w:r>
          </w:p>
        </w:tc>
        <w:tc>
          <w:tcPr>
            <w:tcW w:w="4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99</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99</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w:t>
            </w: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其他社会保障和就业支出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8.28</w:t>
            </w:r>
          </w:p>
        </w:tc>
        <w:tc>
          <w:tcPr>
            <w:tcW w:w="4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8"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11</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w:t>
            </w: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事业单位医疗</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20.60</w:t>
            </w:r>
          </w:p>
        </w:tc>
        <w:tc>
          <w:tcPr>
            <w:tcW w:w="4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line="600" w:lineRule="exact"/>
        <w:ind w:leftChars="200"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一般公共预算基本支出预算表（公开表3-1）</w:t>
      </w:r>
    </w:p>
    <w:tbl>
      <w:tblPr>
        <w:tblStyle w:val="5"/>
        <w:tblW w:w="8336" w:type="dxa"/>
        <w:tblInd w:w="0" w:type="dxa"/>
        <w:shd w:val="clear" w:color="auto" w:fill="auto"/>
        <w:tblLayout w:type="fixed"/>
        <w:tblCellMar>
          <w:top w:w="0" w:type="dxa"/>
          <w:left w:w="0" w:type="dxa"/>
          <w:bottom w:w="0" w:type="dxa"/>
          <w:right w:w="0" w:type="dxa"/>
        </w:tblCellMar>
      </w:tblPr>
      <w:tblGrid>
        <w:gridCol w:w="411"/>
        <w:gridCol w:w="284"/>
        <w:gridCol w:w="769"/>
        <w:gridCol w:w="1446"/>
        <w:gridCol w:w="1018"/>
        <w:gridCol w:w="1700"/>
        <w:gridCol w:w="2708"/>
      </w:tblGrid>
      <w:tr>
        <w:tblPrEx>
          <w:shd w:val="clear" w:color="auto" w:fill="auto"/>
          <w:tblCellMar>
            <w:top w:w="0" w:type="dxa"/>
            <w:left w:w="0" w:type="dxa"/>
            <w:bottom w:w="0" w:type="dxa"/>
            <w:right w:w="0" w:type="dxa"/>
          </w:tblCellMar>
        </w:tblPrEx>
        <w:trPr>
          <w:trHeight w:val="630" w:hRule="atLeast"/>
        </w:trPr>
        <w:tc>
          <w:tcPr>
            <w:tcW w:w="8336" w:type="dxa"/>
            <w:gridSpan w:val="7"/>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一般公共预算基本支出预算表</w:t>
            </w:r>
          </w:p>
        </w:tc>
      </w:tr>
      <w:tr>
        <w:tblPrEx>
          <w:tblCellMar>
            <w:top w:w="0" w:type="dxa"/>
            <w:left w:w="0" w:type="dxa"/>
            <w:bottom w:w="0" w:type="dxa"/>
            <w:right w:w="0" w:type="dxa"/>
          </w:tblCellMar>
        </w:tblPrEx>
        <w:trPr>
          <w:trHeight w:val="407" w:hRule="atLeast"/>
        </w:trPr>
        <w:tc>
          <w:tcPr>
            <w:tcW w:w="2910" w:type="dxa"/>
            <w:gridSpan w:val="4"/>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单位：乐山市奥林匹克学校</w:t>
            </w:r>
          </w:p>
        </w:tc>
        <w:tc>
          <w:tcPr>
            <w:tcW w:w="1018"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1700" w:type="dxa"/>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tc>
        <w:tc>
          <w:tcPr>
            <w:tcW w:w="270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93" w:hRule="atLeast"/>
        </w:trPr>
        <w:tc>
          <w:tcPr>
            <w:tcW w:w="2910" w:type="dxa"/>
            <w:gridSpan w:val="4"/>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5426" w:type="dxa"/>
            <w:gridSpan w:val="3"/>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r>
      <w:tr>
        <w:tblPrEx>
          <w:tblCellMar>
            <w:top w:w="0" w:type="dxa"/>
            <w:left w:w="0" w:type="dxa"/>
            <w:bottom w:w="0" w:type="dxa"/>
            <w:right w:w="0" w:type="dxa"/>
          </w:tblCellMar>
        </w:tblPrEx>
        <w:trPr>
          <w:trHeight w:val="630" w:hRule="atLeast"/>
        </w:trPr>
        <w:tc>
          <w:tcPr>
            <w:tcW w:w="695" w:type="dxa"/>
            <w:gridSpan w:val="2"/>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69" w:type="dxa"/>
            <w:vMerge w:val="restart"/>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单位代码</w:t>
            </w:r>
          </w:p>
        </w:tc>
        <w:tc>
          <w:tcPr>
            <w:tcW w:w="1446" w:type="dxa"/>
            <w:vMerge w:val="restart"/>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1018" w:type="dxa"/>
            <w:vMerge w:val="restart"/>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700" w:type="dxa"/>
            <w:vMerge w:val="restart"/>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人员经费</w:t>
            </w:r>
          </w:p>
        </w:tc>
        <w:tc>
          <w:tcPr>
            <w:tcW w:w="2708" w:type="dxa"/>
            <w:vMerge w:val="restart"/>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493" w:hRule="atLeast"/>
        </w:trPr>
        <w:tc>
          <w:tcPr>
            <w:tcW w:w="411" w:type="dxa"/>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84" w:type="dxa"/>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769" w:type="dxa"/>
            <w:vMerge w:val="continue"/>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jc w:val="center"/>
            </w:pPr>
          </w:p>
        </w:tc>
        <w:tc>
          <w:tcPr>
            <w:tcW w:w="1446" w:type="dxa"/>
            <w:vMerge w:val="continue"/>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8" w:type="dxa"/>
            <w:vMerge w:val="continue"/>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00" w:type="dxa"/>
            <w:vMerge w:val="continue"/>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jc w:val="center"/>
            </w:pPr>
          </w:p>
        </w:tc>
        <w:tc>
          <w:tcPr>
            <w:tcW w:w="2708" w:type="dxa"/>
            <w:vMerge w:val="continue"/>
            <w:tcBorders>
              <w:top w:val="single" w:color="C0C0C0" w:sz="4" w:space="0"/>
              <w:left w:val="single" w:color="C0C0C0" w:sz="4" w:space="0"/>
              <w:bottom w:val="single" w:color="C0C0C0" w:sz="4" w:space="0"/>
              <w:right w:val="single" w:color="C0C0C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95" w:hRule="atLeast"/>
        </w:trPr>
        <w:tc>
          <w:tcPr>
            <w:tcW w:w="411" w:type="dxa"/>
            <w:tcBorders>
              <w:top w:val="single" w:color="C0C0C0" w:sz="8" w:space="0"/>
              <w:left w:val="single" w:color="C0C0C0" w:sz="8" w:space="0"/>
              <w:bottom w:val="single" w:color="C0C0C0" w:sz="8" w:space="0"/>
              <w:right w:val="single" w:color="C0C0C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4"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9"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jc w:val="center"/>
            </w:pPr>
          </w:p>
        </w:tc>
        <w:tc>
          <w:tcPr>
            <w:tcW w:w="1446"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018"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646.70</w:t>
            </w:r>
          </w:p>
        </w:tc>
        <w:tc>
          <w:tcPr>
            <w:tcW w:w="1700"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580.17</w:t>
            </w:r>
          </w:p>
        </w:tc>
        <w:tc>
          <w:tcPr>
            <w:tcW w:w="2708"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323303</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乐山市奥林匹克学校</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646.70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580.17</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r>
      <w:tr>
        <w:tblPrEx>
          <w:tblCellMar>
            <w:top w:w="0" w:type="dxa"/>
            <w:left w:w="0" w:type="dxa"/>
            <w:bottom w:w="0" w:type="dxa"/>
            <w:right w:w="0" w:type="dxa"/>
          </w:tblCellMar>
        </w:tblPrEx>
        <w:trPr>
          <w:trHeight w:val="368"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工资福利支出</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580.17</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580.17</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68"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基本工资</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201.67</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201.67</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02</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津贴补贴</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5.86</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02</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3010201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地方津贴补贴</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5.86</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30107</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绩效工资</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118.27</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118.27</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3010701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基础性绩效工资</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75.00</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3010702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奖励性绩效工资</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43.27</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43.27</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927"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08</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30108</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64.48</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64.48</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09</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30109</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职业年金缴费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32.24</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32.24</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50" w:hRule="atLeast"/>
        </w:trPr>
        <w:tc>
          <w:tcPr>
            <w:tcW w:w="411" w:type="dxa"/>
            <w:tcBorders>
              <w:top w:val="single" w:color="C0C0C0" w:sz="8" w:space="0"/>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10</w:t>
            </w:r>
          </w:p>
        </w:tc>
        <w:tc>
          <w:tcPr>
            <w:tcW w:w="769"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30110</w:t>
            </w:r>
          </w:p>
        </w:tc>
        <w:tc>
          <w:tcPr>
            <w:tcW w:w="1446"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职工基本医疗保险缴费</w:t>
            </w:r>
          </w:p>
        </w:tc>
        <w:tc>
          <w:tcPr>
            <w:tcW w:w="1018"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700"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20.60</w:t>
            </w:r>
          </w:p>
        </w:tc>
        <w:tc>
          <w:tcPr>
            <w:tcW w:w="2708" w:type="dxa"/>
            <w:tcBorders>
              <w:top w:val="single" w:color="C0C0C0" w:sz="8" w:space="0"/>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30112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其他社会保障缴费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8.28</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3011201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工伤保险</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0.81</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3011202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失业保险</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2.42</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3011203</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残疾人就业保障金</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5.06</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30113</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住房公积金</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51.55</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51.55</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30199</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其他工资福利支出</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77.22</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3019913</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事业平时绩效工资</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77.22</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77.22</w:t>
            </w: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商品和服务支出</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66.53</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3020101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日常办公用品</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3020102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书报杂志</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水费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办公卫生用水</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饮用水</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3020599</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其他水费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06</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30206</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电费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06</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3020601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办公用电费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30207</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邮电费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3020705</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网络通讯费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差旅城市间交通费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3021102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差旅住宿费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3021103</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差旅伙食补助费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3021104</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差旅公杂费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30213</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维修（护）费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3021301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办公设备维修（护）费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625"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3021312</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零星维修（护）费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26</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30226</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劳务费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26</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3022699</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其他劳务费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0" w:type="dxa"/>
            <w:bottom w:w="0" w:type="dxa"/>
            <w:right w:w="0" w:type="dxa"/>
          </w:tblCellMar>
        </w:tblPrEx>
        <w:trPr>
          <w:trHeight w:val="330"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28</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30228</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r>
      <w:tr>
        <w:tblPrEx>
          <w:tblCellMar>
            <w:top w:w="0" w:type="dxa"/>
            <w:left w:w="0" w:type="dxa"/>
            <w:bottom w:w="0" w:type="dxa"/>
            <w:right w:w="0" w:type="dxa"/>
          </w:tblCellMar>
        </w:tblPrEx>
        <w:trPr>
          <w:trHeight w:val="644" w:hRule="atLeast"/>
        </w:trPr>
        <w:tc>
          <w:tcPr>
            <w:tcW w:w="411" w:type="dxa"/>
            <w:tcBorders>
              <w:top w:val="nil"/>
              <w:left w:val="single" w:color="C0C0C0" w:sz="8" w:space="0"/>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84"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28</w:t>
            </w:r>
          </w:p>
        </w:tc>
        <w:tc>
          <w:tcPr>
            <w:tcW w:w="769"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3022801</w:t>
            </w:r>
          </w:p>
        </w:tc>
        <w:tc>
          <w:tcPr>
            <w:tcW w:w="1446"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工会经费（比例）</w:t>
            </w:r>
          </w:p>
        </w:tc>
        <w:tc>
          <w:tcPr>
            <w:tcW w:w="101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1700"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jc w:val="right"/>
            </w:pPr>
          </w:p>
        </w:tc>
        <w:tc>
          <w:tcPr>
            <w:tcW w:w="2708" w:type="dxa"/>
            <w:tcBorders>
              <w:top w:val="nil"/>
              <w:left w:val="nil"/>
              <w:bottom w:val="single" w:color="C0C0C0" w:sz="8" w:space="0"/>
              <w:right w:val="single" w:color="C0C0C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一般公共预算项目支出预算表（公开表3-2）</w:t>
      </w:r>
    </w:p>
    <w:tbl>
      <w:tblPr>
        <w:tblStyle w:val="5"/>
        <w:tblW w:w="7455" w:type="dxa"/>
        <w:tblInd w:w="0" w:type="dxa"/>
        <w:shd w:val="clear" w:color="auto" w:fill="auto"/>
        <w:tblLayout w:type="autofit"/>
        <w:tblCellMar>
          <w:top w:w="0" w:type="dxa"/>
          <w:left w:w="0" w:type="dxa"/>
          <w:bottom w:w="0" w:type="dxa"/>
          <w:right w:w="0" w:type="dxa"/>
        </w:tblCellMar>
      </w:tblPr>
      <w:tblGrid>
        <w:gridCol w:w="735"/>
        <w:gridCol w:w="735"/>
        <w:gridCol w:w="735"/>
        <w:gridCol w:w="1020"/>
        <w:gridCol w:w="2490"/>
        <w:gridCol w:w="1740"/>
      </w:tblGrid>
      <w:tr>
        <w:tblPrEx>
          <w:shd w:val="clear" w:color="auto" w:fill="auto"/>
          <w:tblCellMar>
            <w:top w:w="0" w:type="dxa"/>
            <w:left w:w="0" w:type="dxa"/>
            <w:bottom w:w="0" w:type="dxa"/>
            <w:right w:w="0" w:type="dxa"/>
          </w:tblCellMar>
        </w:tblPrEx>
        <w:trPr>
          <w:trHeight w:val="458" w:hRule="atLeast"/>
        </w:trPr>
        <w:tc>
          <w:tcPr>
            <w:tcW w:w="7455" w:type="dxa"/>
            <w:gridSpan w:val="6"/>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一般公共预算项目支出预算表</w:t>
            </w:r>
          </w:p>
        </w:tc>
      </w:tr>
      <w:tr>
        <w:tblPrEx>
          <w:tblCellMar>
            <w:top w:w="0" w:type="dxa"/>
            <w:left w:w="0" w:type="dxa"/>
            <w:bottom w:w="0" w:type="dxa"/>
            <w:right w:w="0" w:type="dxa"/>
          </w:tblCellMar>
        </w:tblPrEx>
        <w:trPr>
          <w:trHeight w:val="390" w:hRule="atLeast"/>
        </w:trPr>
        <w:tc>
          <w:tcPr>
            <w:tcW w:w="0" w:type="auto"/>
            <w:gridSpan w:val="5"/>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：乐山市奥林匹克学校</w:t>
            </w: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88"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488"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37.8</w:t>
            </w:r>
          </w:p>
        </w:tc>
      </w:tr>
      <w:tr>
        <w:tblPrEx>
          <w:tblCellMar>
            <w:top w:w="0" w:type="dxa"/>
            <w:left w:w="0" w:type="dxa"/>
            <w:bottom w:w="0" w:type="dxa"/>
            <w:right w:w="0" w:type="dxa"/>
          </w:tblCellMar>
        </w:tblPrEx>
        <w:trPr>
          <w:trHeight w:val="458" w:hRule="atLeast"/>
        </w:trPr>
        <w:tc>
          <w:tcPr>
            <w:tcW w:w="735" w:type="dxa"/>
            <w:tcBorders>
              <w:top w:val="nil"/>
              <w:left w:val="single" w:color="C2C3C4" w:sz="8" w:space="0"/>
              <w:bottom w:val="single" w:color="C2C3C4" w:sz="8" w:space="0"/>
              <w:right w:val="single" w:color="C2C3C4" w:sz="8"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735"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735"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1020"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2490"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初中教育</w:t>
            </w:r>
          </w:p>
        </w:tc>
        <w:tc>
          <w:tcPr>
            <w:tcW w:w="1740"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37.8</w:t>
            </w:r>
          </w:p>
        </w:tc>
      </w:tr>
      <w:tr>
        <w:tblPrEx>
          <w:tblCellMar>
            <w:top w:w="0" w:type="dxa"/>
            <w:left w:w="0" w:type="dxa"/>
            <w:bottom w:w="0" w:type="dxa"/>
            <w:right w:w="0" w:type="dxa"/>
          </w:tblCellMar>
        </w:tblPrEx>
        <w:trPr>
          <w:trHeight w:val="458" w:hRule="atLeast"/>
        </w:trPr>
        <w:tc>
          <w:tcPr>
            <w:tcW w:w="735" w:type="dxa"/>
            <w:tcBorders>
              <w:top w:val="nil"/>
              <w:left w:val="single" w:color="C2C3C4" w:sz="8" w:space="0"/>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735"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735"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1020"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323303</w:t>
            </w:r>
          </w:p>
        </w:tc>
        <w:tc>
          <w:tcPr>
            <w:tcW w:w="2490"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市奥校课后服务费</w:t>
            </w:r>
          </w:p>
        </w:tc>
        <w:tc>
          <w:tcPr>
            <w:tcW w:w="1740" w:type="dxa"/>
            <w:tcBorders>
              <w:top w:val="nil"/>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37.8</w:t>
            </w: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一般公共预算“三公”经费支出预算表（公开表3-3）</w:t>
      </w:r>
    </w:p>
    <w:tbl>
      <w:tblPr>
        <w:tblStyle w:val="5"/>
        <w:tblW w:w="8550" w:type="dxa"/>
        <w:tblInd w:w="0" w:type="dxa"/>
        <w:shd w:val="clear" w:color="auto" w:fill="auto"/>
        <w:tblLayout w:type="autofit"/>
        <w:tblCellMar>
          <w:top w:w="0" w:type="dxa"/>
          <w:left w:w="0" w:type="dxa"/>
          <w:bottom w:w="0" w:type="dxa"/>
          <w:right w:w="0" w:type="dxa"/>
        </w:tblCellMar>
      </w:tblPr>
      <w:tblGrid>
        <w:gridCol w:w="914"/>
        <w:gridCol w:w="1797"/>
        <w:gridCol w:w="474"/>
        <w:gridCol w:w="693"/>
        <w:gridCol w:w="474"/>
        <w:gridCol w:w="1577"/>
        <w:gridCol w:w="1577"/>
        <w:gridCol w:w="1570"/>
      </w:tblGrid>
      <w:tr>
        <w:tblPrEx>
          <w:shd w:val="clear" w:color="auto" w:fill="auto"/>
          <w:tblCellMar>
            <w:top w:w="0" w:type="dxa"/>
            <w:left w:w="0" w:type="dxa"/>
            <w:bottom w:w="0" w:type="dxa"/>
            <w:right w:w="0" w:type="dxa"/>
          </w:tblCellMar>
        </w:tblPrEx>
        <w:trPr>
          <w:trHeight w:val="458" w:hRule="atLeast"/>
        </w:trPr>
        <w:tc>
          <w:tcPr>
            <w:tcW w:w="8550" w:type="dxa"/>
            <w:gridSpan w:val="8"/>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一般公共预算“三公”经费支出预算表</w:t>
            </w:r>
          </w:p>
        </w:tc>
      </w:tr>
      <w:tr>
        <w:tblPrEx>
          <w:tblCellMar>
            <w:top w:w="0" w:type="dxa"/>
            <w:left w:w="0" w:type="dxa"/>
            <w:bottom w:w="0" w:type="dxa"/>
            <w:right w:w="0" w:type="dxa"/>
          </w:tblCellMar>
        </w:tblPrEx>
        <w:trPr>
          <w:trHeight w:val="390" w:hRule="atLeast"/>
        </w:trPr>
        <w:tc>
          <w:tcPr>
            <w:tcW w:w="0" w:type="auto"/>
            <w:gridSpan w:val="2"/>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：乐山市奥林匹克学校</w:t>
            </w: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88" w:hRule="atLeast"/>
        </w:trPr>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单位名称（科目）</w:t>
            </w:r>
          </w:p>
        </w:tc>
        <w:tc>
          <w:tcPr>
            <w:tcW w:w="0" w:type="auto"/>
            <w:gridSpan w:val="6"/>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当年财政拨款预算安排</w:t>
            </w:r>
          </w:p>
        </w:tc>
      </w:tr>
      <w:tr>
        <w:tblPrEx>
          <w:tblCellMar>
            <w:top w:w="0" w:type="dxa"/>
            <w:left w:w="0" w:type="dxa"/>
            <w:bottom w:w="0" w:type="dxa"/>
            <w:right w:w="0" w:type="dxa"/>
          </w:tblCellMar>
        </w:tblPrEx>
        <w:trPr>
          <w:trHeight w:val="488" w:hRule="atLeast"/>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4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因公出国（境）费用</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88" w:hRule="atLeast"/>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45"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1605" w:type="dxa"/>
            <w:tcBorders>
              <w:top w:val="single" w:color="C2C3C4" w:sz="8" w:space="0"/>
              <w:left w:val="single" w:color="C2C3C4" w:sz="8" w:space="0"/>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323303</w:t>
            </w:r>
          </w:p>
        </w:tc>
        <w:tc>
          <w:tcPr>
            <w:tcW w:w="2160" w:type="dxa"/>
            <w:tcBorders>
              <w:top w:val="single" w:color="C2C3C4" w:sz="8" w:space="0"/>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乐山市奥林匹克学校</w:t>
            </w:r>
          </w:p>
        </w:tc>
        <w:tc>
          <w:tcPr>
            <w:tcW w:w="1320" w:type="dxa"/>
            <w:tcBorders>
              <w:top w:val="single" w:color="C2C3C4" w:sz="8" w:space="0"/>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5" w:type="dxa"/>
            <w:tcBorders>
              <w:top w:val="single" w:color="C2C3C4" w:sz="8" w:space="0"/>
              <w:left w:val="nil"/>
              <w:bottom w:val="single" w:color="C2C3C4" w:sz="8" w:space="0"/>
              <w:right w:val="single" w:color="C2C3C4" w:sz="8"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630" w:type="dxa"/>
            <w:tcBorders>
              <w:top w:val="single" w:color="C2C3C4" w:sz="8" w:space="0"/>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30" w:type="dxa"/>
            <w:tcBorders>
              <w:top w:val="single" w:color="C2C3C4" w:sz="8" w:space="0"/>
              <w:left w:val="nil"/>
              <w:bottom w:val="single" w:color="C2C3C4" w:sz="8" w:space="0"/>
              <w:right w:val="single" w:color="C2C3C4" w:sz="8"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630" w:type="dxa"/>
            <w:tcBorders>
              <w:top w:val="single" w:color="C2C3C4" w:sz="8" w:space="0"/>
              <w:left w:val="nil"/>
              <w:bottom w:val="single" w:color="C2C3C4" w:sz="8" w:space="0"/>
              <w:right w:val="single" w:color="C2C3C4" w:sz="8"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2"/>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政府性基金预算支出表（公开表4）</w:t>
      </w:r>
    </w:p>
    <w:tbl>
      <w:tblPr>
        <w:tblStyle w:val="5"/>
        <w:tblW w:w="9030" w:type="dxa"/>
        <w:tblInd w:w="0" w:type="dxa"/>
        <w:shd w:val="clear" w:color="auto" w:fill="auto"/>
        <w:tblLayout w:type="autofit"/>
        <w:tblCellMar>
          <w:top w:w="0" w:type="dxa"/>
          <w:left w:w="0" w:type="dxa"/>
          <w:bottom w:w="0" w:type="dxa"/>
          <w:right w:w="0" w:type="dxa"/>
        </w:tblCellMar>
      </w:tblPr>
      <w:tblGrid>
        <w:gridCol w:w="353"/>
        <w:gridCol w:w="353"/>
        <w:gridCol w:w="353"/>
        <w:gridCol w:w="1286"/>
        <w:gridCol w:w="2528"/>
        <w:gridCol w:w="664"/>
        <w:gridCol w:w="1286"/>
        <w:gridCol w:w="2207"/>
      </w:tblGrid>
      <w:tr>
        <w:tblPrEx>
          <w:shd w:val="clear" w:color="auto" w:fill="auto"/>
          <w:tblCellMar>
            <w:top w:w="0" w:type="dxa"/>
            <w:left w:w="0" w:type="dxa"/>
            <w:bottom w:w="0" w:type="dxa"/>
            <w:right w:w="0" w:type="dxa"/>
          </w:tblCellMar>
        </w:tblPrEx>
        <w:trPr>
          <w:trHeight w:val="458" w:hRule="atLeast"/>
        </w:trPr>
        <w:tc>
          <w:tcPr>
            <w:tcW w:w="903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政府性基金预算支出预算表 </w:t>
            </w:r>
          </w:p>
        </w:tc>
      </w:tr>
      <w:tr>
        <w:tblPrEx>
          <w:tblCellMar>
            <w:top w:w="0" w:type="dxa"/>
            <w:left w:w="0" w:type="dxa"/>
            <w:bottom w:w="0" w:type="dxa"/>
            <w:right w:w="0" w:type="dxa"/>
          </w:tblCellMar>
        </w:tblPrEx>
        <w:trPr>
          <w:trHeight w:val="39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：乐山市奥林匹克学校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8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0" w:type="auto"/>
            <w:gridSpan w:val="3"/>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本年政府性基金预算支出</w:t>
            </w:r>
          </w:p>
        </w:tc>
      </w:tr>
      <w:tr>
        <w:tblPrEx>
          <w:tblCellMar>
            <w:top w:w="0" w:type="dxa"/>
            <w:left w:w="0" w:type="dxa"/>
            <w:bottom w:w="0" w:type="dxa"/>
            <w:right w:w="0" w:type="dxa"/>
          </w:tblCellMar>
        </w:tblPrEx>
        <w:trPr>
          <w:trHeight w:val="48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十一、政府性基金预算“三公”经费支出预算表（公开</w:t>
      </w:r>
    </w:p>
    <w:p>
      <w:pPr>
        <w:pStyle w:val="4"/>
        <w:widowControl/>
        <w:spacing w:before="0" w:beforeAutospacing="0" w:after="0" w:afterAutospacing="0" w:line="600" w:lineRule="exact"/>
        <w:ind w:firstLine="1600" w:firstLineChars="500"/>
        <w:jc w:val="both"/>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表4-1）</w:t>
      </w:r>
    </w:p>
    <w:tbl>
      <w:tblPr>
        <w:tblStyle w:val="5"/>
        <w:tblW w:w="9100" w:type="dxa"/>
        <w:tblInd w:w="0" w:type="dxa"/>
        <w:shd w:val="clear" w:color="auto" w:fill="auto"/>
        <w:tblLayout w:type="autofit"/>
        <w:tblCellMar>
          <w:top w:w="0" w:type="dxa"/>
          <w:left w:w="0" w:type="dxa"/>
          <w:bottom w:w="0" w:type="dxa"/>
          <w:right w:w="0" w:type="dxa"/>
        </w:tblCellMar>
      </w:tblPr>
      <w:tblGrid>
        <w:gridCol w:w="1268"/>
        <w:gridCol w:w="2492"/>
        <w:gridCol w:w="655"/>
        <w:gridCol w:w="1368"/>
        <w:gridCol w:w="766"/>
        <w:gridCol w:w="766"/>
        <w:gridCol w:w="766"/>
        <w:gridCol w:w="1019"/>
      </w:tblGrid>
      <w:tr>
        <w:tblPrEx>
          <w:shd w:val="clear" w:color="auto" w:fill="auto"/>
          <w:tblCellMar>
            <w:top w:w="0" w:type="dxa"/>
            <w:left w:w="0" w:type="dxa"/>
            <w:bottom w:w="0" w:type="dxa"/>
            <w:right w:w="0" w:type="dxa"/>
          </w:tblCellMar>
        </w:tblPrEx>
        <w:trPr>
          <w:trHeight w:val="634" w:hRule="atLeast"/>
        </w:trPr>
        <w:tc>
          <w:tcPr>
            <w:tcW w:w="9100" w:type="dxa"/>
            <w:gridSpan w:val="8"/>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政府性基金预算“三公”经费支出预算表</w:t>
            </w:r>
          </w:p>
        </w:tc>
      </w:tr>
      <w:tr>
        <w:tblPrEx>
          <w:tblCellMar>
            <w:top w:w="0" w:type="dxa"/>
            <w:left w:w="0" w:type="dxa"/>
            <w:bottom w:w="0" w:type="dxa"/>
            <w:right w:w="0" w:type="dxa"/>
          </w:tblCellMar>
        </w:tblPrEx>
        <w:trPr>
          <w:trHeight w:val="634" w:hRule="atLeast"/>
        </w:trPr>
        <w:tc>
          <w:tcPr>
            <w:tcW w:w="0" w:type="auto"/>
            <w:gridSpan w:val="2"/>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：乐山市奥林匹克学校</w:t>
            </w: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2"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2"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2"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501" w:hRule="atLeast"/>
        </w:trPr>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单位名称（科目）</w:t>
            </w:r>
          </w:p>
        </w:tc>
        <w:tc>
          <w:tcPr>
            <w:tcW w:w="0" w:type="auto"/>
            <w:gridSpan w:val="6"/>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当年财政拨款预算安排</w:t>
            </w:r>
          </w:p>
        </w:tc>
      </w:tr>
      <w:tr>
        <w:tblPrEx>
          <w:tblCellMar>
            <w:top w:w="0" w:type="dxa"/>
            <w:left w:w="0" w:type="dxa"/>
            <w:bottom w:w="0" w:type="dxa"/>
            <w:right w:w="0" w:type="dxa"/>
          </w:tblCellMar>
        </w:tblPrEx>
        <w:trPr>
          <w:trHeight w:val="501" w:hRule="atLeast"/>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78"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因公出国（境）费用</w:t>
            </w:r>
          </w:p>
        </w:tc>
        <w:tc>
          <w:tcPr>
            <w:tcW w:w="2556"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0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938" w:hRule="atLeast"/>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78"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5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85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100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72"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1"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8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2"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spacing w:before="0" w:beforeAutospacing="0" w:after="0" w:afterAutospacing="0" w:line="600" w:lineRule="exact"/>
        <w:jc w:val="both"/>
        <w:rPr>
          <w:rFonts w:hint="eastAsia" w:ascii="Times New Roman" w:hAnsi="Times New Roman" w:eastAsia="仿宋_GB2312" w:cs="仿宋_GB2312"/>
          <w:color w:val="333333"/>
          <w:sz w:val="32"/>
          <w:szCs w:val="32"/>
        </w:rPr>
      </w:pPr>
    </w:p>
    <w:p>
      <w:pPr>
        <w:pStyle w:val="4"/>
        <w:widowControl/>
        <w:numPr>
          <w:ilvl w:val="0"/>
          <w:numId w:val="3"/>
        </w:numPr>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国有资本经营预算支出表（公开表5）</w:t>
      </w:r>
    </w:p>
    <w:tbl>
      <w:tblPr>
        <w:tblStyle w:val="5"/>
        <w:tblW w:w="8550" w:type="dxa"/>
        <w:tblInd w:w="0" w:type="dxa"/>
        <w:shd w:val="clear" w:color="auto" w:fill="auto"/>
        <w:tblLayout w:type="autofit"/>
        <w:tblCellMar>
          <w:top w:w="0" w:type="dxa"/>
          <w:left w:w="0" w:type="dxa"/>
          <w:bottom w:w="0" w:type="dxa"/>
          <w:right w:w="0" w:type="dxa"/>
        </w:tblCellMar>
      </w:tblPr>
      <w:tblGrid>
        <w:gridCol w:w="334"/>
        <w:gridCol w:w="334"/>
        <w:gridCol w:w="334"/>
        <w:gridCol w:w="1217"/>
        <w:gridCol w:w="2393"/>
        <w:gridCol w:w="629"/>
        <w:gridCol w:w="1217"/>
        <w:gridCol w:w="2092"/>
      </w:tblGrid>
      <w:tr>
        <w:tblPrEx>
          <w:shd w:val="clear" w:color="auto" w:fill="auto"/>
          <w:tblCellMar>
            <w:top w:w="0" w:type="dxa"/>
            <w:left w:w="0" w:type="dxa"/>
            <w:bottom w:w="0" w:type="dxa"/>
            <w:right w:w="0" w:type="dxa"/>
          </w:tblCellMar>
        </w:tblPrEx>
        <w:trPr>
          <w:trHeight w:val="458" w:hRule="atLeast"/>
        </w:trPr>
        <w:tc>
          <w:tcPr>
            <w:tcW w:w="8550" w:type="dxa"/>
            <w:gridSpan w:val="8"/>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国有资本经营预算支出预算表</w:t>
            </w:r>
          </w:p>
        </w:tc>
      </w:tr>
      <w:tr>
        <w:tblPrEx>
          <w:tblCellMar>
            <w:top w:w="0" w:type="dxa"/>
            <w:left w:w="0" w:type="dxa"/>
            <w:bottom w:w="0" w:type="dxa"/>
            <w:right w:w="0" w:type="dxa"/>
          </w:tblCellMar>
        </w:tblPrEx>
        <w:trPr>
          <w:trHeight w:val="390" w:hRule="atLeast"/>
        </w:trPr>
        <w:tc>
          <w:tcPr>
            <w:tcW w:w="0" w:type="auto"/>
            <w:gridSpan w:val="5"/>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：乐山市奥林匹克学校</w:t>
            </w: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88" w:hRule="atLeast"/>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本年国有资本经营预算支出</w:t>
            </w:r>
          </w:p>
        </w:tc>
      </w:tr>
      <w:tr>
        <w:tblPrEx>
          <w:tblCellMar>
            <w:top w:w="0" w:type="dxa"/>
            <w:left w:w="0" w:type="dxa"/>
            <w:bottom w:w="0" w:type="dxa"/>
            <w:right w:w="0" w:type="dxa"/>
          </w:tblCellMar>
        </w:tblPrEx>
        <w:trPr>
          <w:trHeight w:val="488"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88"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ind w:right="0" w:rightChars="0"/>
        <w:jc w:val="both"/>
        <w:rPr>
          <w:rFonts w:hint="eastAsia" w:ascii="Times New Roman" w:hAnsi="Times New Roman" w:eastAsia="仿宋_GB2312" w:cs="仿宋_GB2312"/>
          <w:color w:val="333333"/>
          <w:sz w:val="32"/>
          <w:szCs w:val="32"/>
        </w:rPr>
      </w:pPr>
    </w:p>
    <w:p>
      <w:pPr>
        <w:pStyle w:val="4"/>
        <w:widowControl/>
        <w:numPr>
          <w:ilvl w:val="0"/>
          <w:numId w:val="3"/>
        </w:numPr>
        <w:spacing w:before="0" w:beforeAutospacing="0" w:after="0" w:afterAutospacing="0" w:line="600" w:lineRule="exact"/>
        <w:ind w:left="0" w:leftChars="0"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单位</w:t>
      </w:r>
      <w:r>
        <w:rPr>
          <w:rFonts w:ascii="Times New Roman" w:hAnsi="Times New Roman" w:eastAsia="仿宋_GB2312" w:cs="仿宋_GB2312"/>
          <w:color w:val="333333"/>
          <w:sz w:val="32"/>
          <w:szCs w:val="32"/>
        </w:rPr>
        <w:t>预算项目支出绩效目标表（公开表6）</w:t>
      </w:r>
    </w:p>
    <w:tbl>
      <w:tblPr>
        <w:tblStyle w:val="5"/>
        <w:tblW w:w="9480" w:type="dxa"/>
        <w:tblInd w:w="0" w:type="dxa"/>
        <w:shd w:val="clear" w:color="auto" w:fill="auto"/>
        <w:tblLayout w:type="autofit"/>
        <w:tblCellMar>
          <w:top w:w="0" w:type="dxa"/>
          <w:left w:w="0" w:type="dxa"/>
          <w:bottom w:w="0" w:type="dxa"/>
          <w:right w:w="0" w:type="dxa"/>
        </w:tblCellMar>
      </w:tblPr>
      <w:tblGrid>
        <w:gridCol w:w="988"/>
        <w:gridCol w:w="753"/>
        <w:gridCol w:w="683"/>
        <w:gridCol w:w="1037"/>
        <w:gridCol w:w="770"/>
        <w:gridCol w:w="782"/>
        <w:gridCol w:w="915"/>
        <w:gridCol w:w="782"/>
        <w:gridCol w:w="588"/>
        <w:gridCol w:w="770"/>
        <w:gridCol w:w="441"/>
        <w:gridCol w:w="971"/>
      </w:tblGrid>
      <w:tr>
        <w:tblPrEx>
          <w:shd w:val="clear" w:color="auto" w:fill="auto"/>
          <w:tblCellMar>
            <w:top w:w="0" w:type="dxa"/>
            <w:left w:w="0" w:type="dxa"/>
            <w:bottom w:w="0" w:type="dxa"/>
            <w:right w:w="0" w:type="dxa"/>
          </w:tblCellMar>
        </w:tblPrEx>
        <w:trPr>
          <w:trHeight w:val="638" w:hRule="atLeast"/>
        </w:trPr>
        <w:tc>
          <w:tcPr>
            <w:tcW w:w="9480" w:type="dxa"/>
            <w:gridSpan w:val="12"/>
            <w:tcBorders>
              <w:top w:val="single" w:color="FFFFFF" w:sz="4" w:space="0"/>
              <w:left w:val="single" w:color="FFFFFF" w:sz="4" w:space="0"/>
              <w:bottom w:val="single" w:color="FFFFFF" w:sz="4" w:space="0"/>
              <w:right w:val="single" w:color="FFFFFF"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市级</w:t>
            </w:r>
            <w:r>
              <w:rPr>
                <w:rFonts w:hint="eastAsia" w:ascii="宋体" w:hAnsi="宋体" w:cs="宋体"/>
                <w:b/>
                <w:i w:val="0"/>
                <w:color w:val="000000"/>
                <w:kern w:val="0"/>
                <w:sz w:val="30"/>
                <w:szCs w:val="30"/>
                <w:u w:val="none"/>
                <w:lang w:val="en-US" w:eastAsia="zh-CN" w:bidi="ar"/>
              </w:rPr>
              <w:t>单位</w:t>
            </w:r>
            <w:r>
              <w:rPr>
                <w:rFonts w:hint="eastAsia" w:ascii="宋体" w:hAnsi="宋体" w:eastAsia="宋体" w:cs="宋体"/>
                <w:b/>
                <w:i w:val="0"/>
                <w:color w:val="000000"/>
                <w:kern w:val="0"/>
                <w:sz w:val="30"/>
                <w:szCs w:val="30"/>
                <w:u w:val="none"/>
                <w:lang w:val="en-US" w:eastAsia="zh-CN" w:bidi="ar"/>
              </w:rPr>
              <w:t>预算项目绩效目标申报表（202</w:t>
            </w:r>
            <w:r>
              <w:rPr>
                <w:rFonts w:hint="eastAsia" w:ascii="宋体" w:hAnsi="宋体" w:cs="宋体"/>
                <w:b/>
                <w:i w:val="0"/>
                <w:color w:val="000000"/>
                <w:kern w:val="0"/>
                <w:sz w:val="30"/>
                <w:szCs w:val="30"/>
                <w:u w:val="none"/>
                <w:lang w:val="en-US" w:eastAsia="zh-CN" w:bidi="ar"/>
              </w:rPr>
              <w:t>4</w:t>
            </w:r>
            <w:r>
              <w:rPr>
                <w:rFonts w:hint="eastAsia" w:ascii="宋体" w:hAnsi="宋体" w:eastAsia="宋体" w:cs="宋体"/>
                <w:b/>
                <w:i w:val="0"/>
                <w:color w:val="000000"/>
                <w:kern w:val="0"/>
                <w:sz w:val="30"/>
                <w:szCs w:val="30"/>
                <w:u w:val="none"/>
                <w:lang w:val="en-US" w:eastAsia="zh-CN" w:bidi="ar"/>
              </w:rPr>
              <w:t>年度）</w:t>
            </w:r>
          </w:p>
        </w:tc>
      </w:tr>
      <w:tr>
        <w:tblPrEx>
          <w:tblCellMar>
            <w:top w:w="0" w:type="dxa"/>
            <w:left w:w="0" w:type="dxa"/>
            <w:bottom w:w="0" w:type="dxa"/>
            <w:right w:w="0" w:type="dxa"/>
          </w:tblCellMar>
        </w:tblPrEx>
        <w:trPr>
          <w:trHeight w:val="408" w:hRule="atLeast"/>
        </w:trPr>
        <w:tc>
          <w:tcPr>
            <w:tcW w:w="3430" w:type="dxa"/>
            <w:gridSpan w:val="4"/>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2" w:type="dxa"/>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5" w:type="dxa"/>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9" w:type="dxa"/>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5" w:type="dxa"/>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9" w:type="dxa"/>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90" w:type="dxa"/>
            <w:gridSpan w:val="3"/>
            <w:tcBorders>
              <w:top w:val="single" w:color="FFFFFF" w:sz="4" w:space="0"/>
              <w:left w:val="single" w:color="FFFFFF" w:sz="4" w:space="0"/>
              <w:bottom w:val="nil"/>
              <w:right w:val="single" w:color="FFFFFF"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504" w:hRule="atLeast"/>
        </w:trPr>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年度目标</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EFF2F7"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指标方向性</w:t>
            </w:r>
          </w:p>
        </w:tc>
      </w:tr>
      <w:tr>
        <w:tblPrEx>
          <w:tblCellMar>
            <w:top w:w="0" w:type="dxa"/>
            <w:left w:w="0" w:type="dxa"/>
            <w:bottom w:w="0" w:type="dxa"/>
            <w:right w:w="0" w:type="dxa"/>
          </w:tblCellMar>
        </w:tblPrEx>
        <w:trPr>
          <w:trHeight w:val="638" w:hRule="atLeast"/>
        </w:trPr>
        <w:tc>
          <w:tcPr>
            <w:tcW w:w="100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单位</w:t>
            </w:r>
            <w:r>
              <w:rPr>
                <w:rFonts w:hint="eastAsia" w:ascii="宋体" w:hAnsi="宋体" w:eastAsia="宋体" w:cs="宋体"/>
                <w:i w:val="0"/>
                <w:color w:val="000000"/>
                <w:kern w:val="0"/>
                <w:sz w:val="18"/>
                <w:szCs w:val="18"/>
                <w:u w:val="none"/>
                <w:lang w:val="en-US" w:eastAsia="zh-CN" w:bidi="ar"/>
              </w:rPr>
              <w:t>预算编码-</w:t>
            </w:r>
            <w:r>
              <w:rPr>
                <w:rFonts w:hint="eastAsia" w:ascii="宋体" w:hAnsi="宋体" w:cs="宋体"/>
                <w:i w:val="0"/>
                <w:color w:val="000000"/>
                <w:kern w:val="0"/>
                <w:sz w:val="18"/>
                <w:szCs w:val="18"/>
                <w:u w:val="none"/>
                <w:lang w:val="en-US" w:eastAsia="zh-CN" w:bidi="ar"/>
              </w:rPr>
              <w:t>单位</w:t>
            </w:r>
            <w:r>
              <w:rPr>
                <w:rFonts w:hint="eastAsia" w:ascii="宋体" w:hAnsi="宋体" w:eastAsia="宋体" w:cs="宋体"/>
                <w:i w:val="0"/>
                <w:color w:val="000000"/>
                <w:kern w:val="0"/>
                <w:sz w:val="18"/>
                <w:szCs w:val="18"/>
                <w:u w:val="none"/>
                <w:lang w:val="en-US" w:eastAsia="zh-CN" w:bidi="ar"/>
              </w:rPr>
              <w:t>名称</w:t>
            </w:r>
          </w:p>
        </w:tc>
        <w:tc>
          <w:tcPr>
            <w:tcW w:w="6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6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8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7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7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323303-乐山市奥林匹克学校</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市奥校课后服务费</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7.80</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全年按时发放课后服务费 41 人</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发放时间</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正向指标</w:t>
            </w:r>
          </w:p>
        </w:tc>
      </w:tr>
      <w:tr>
        <w:tblPrEx>
          <w:tblCellMar>
            <w:top w:w="0" w:type="dxa"/>
            <w:left w:w="0" w:type="dxa"/>
            <w:bottom w:w="0" w:type="dxa"/>
            <w:right w:w="0" w:type="dxa"/>
          </w:tblCellMar>
        </w:tblPrEx>
        <w:trPr>
          <w:trHeight w:val="944"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职工满意度</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正向指标</w:t>
            </w:r>
          </w:p>
        </w:tc>
      </w:tr>
      <w:tr>
        <w:tblPrEx>
          <w:tblCellMar>
            <w:top w:w="0" w:type="dxa"/>
            <w:left w:w="0" w:type="dxa"/>
            <w:bottom w:w="0" w:type="dxa"/>
            <w:right w:w="0" w:type="dxa"/>
          </w:tblCellMar>
        </w:tblPrEx>
        <w:trPr>
          <w:trHeight w:val="77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发放人数</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2</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人数</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正向指标</w:t>
            </w:r>
          </w:p>
        </w:tc>
      </w:tr>
      <w:tr>
        <w:tblPrEx>
          <w:tblCellMar>
            <w:top w:w="0" w:type="dxa"/>
            <w:left w:w="0" w:type="dxa"/>
            <w:bottom w:w="0" w:type="dxa"/>
            <w:right w:w="0" w:type="dxa"/>
          </w:tblCellMar>
        </w:tblPrEx>
        <w:trPr>
          <w:trHeight w:val="77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效益指标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职工待遇提升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高中低</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正向指标</w:t>
            </w:r>
          </w:p>
        </w:tc>
      </w:tr>
      <w:tr>
        <w:tblPrEx>
          <w:tblCellMar>
            <w:top w:w="0" w:type="dxa"/>
            <w:left w:w="0" w:type="dxa"/>
            <w:bottom w:w="0" w:type="dxa"/>
            <w:right w:w="0" w:type="dxa"/>
          </w:tblCellMar>
        </w:tblPrEx>
        <w:trPr>
          <w:trHeight w:val="77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发放金额</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37.8</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正向指标</w:t>
            </w:r>
          </w:p>
        </w:tc>
      </w:tr>
      <w:tr>
        <w:tblPrEx>
          <w:tblCellMar>
            <w:top w:w="0" w:type="dxa"/>
            <w:left w:w="0" w:type="dxa"/>
            <w:bottom w:w="0" w:type="dxa"/>
            <w:right w:w="0" w:type="dxa"/>
          </w:tblCellMar>
        </w:tblPrEx>
        <w:trPr>
          <w:trHeight w:val="78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line="600" w:lineRule="exact"/>
        <w:ind w:right="0" w:rightChars="0"/>
        <w:jc w:val="both"/>
        <w:outlineLvl w:val="1"/>
        <w:rPr>
          <w:rFonts w:ascii="Times New Roman" w:hAnsi="Times New Roman" w:eastAsia="仿宋_GB2312" w:cs="仿宋_GB2312"/>
          <w:color w:val="333333"/>
          <w:sz w:val="32"/>
          <w:szCs w:val="32"/>
        </w:rPr>
      </w:pPr>
    </w:p>
    <w:p>
      <w:pPr>
        <w:pStyle w:val="4"/>
        <w:widowControl/>
        <w:numPr>
          <w:ilvl w:val="0"/>
          <w:numId w:val="3"/>
        </w:numPr>
        <w:spacing w:before="0" w:beforeAutospacing="0" w:after="0" w:afterAutospacing="0" w:line="600" w:lineRule="exact"/>
        <w:ind w:left="0" w:leftChars="0"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单位</w:t>
      </w:r>
      <w:r>
        <w:rPr>
          <w:rFonts w:ascii="Times New Roman" w:hAnsi="Times New Roman" w:eastAsia="仿宋_GB2312" w:cs="仿宋_GB2312"/>
          <w:color w:val="333333"/>
          <w:sz w:val="32"/>
          <w:szCs w:val="32"/>
        </w:rPr>
        <w:t>整体支出绩效目标表（公开表7）</w:t>
      </w:r>
    </w:p>
    <w:tbl>
      <w:tblPr>
        <w:tblStyle w:val="5"/>
        <w:tblW w:w="7185" w:type="dxa"/>
        <w:tblInd w:w="0" w:type="dxa"/>
        <w:shd w:val="clear" w:color="auto" w:fill="auto"/>
        <w:tblLayout w:type="autofit"/>
        <w:tblCellMar>
          <w:top w:w="0" w:type="dxa"/>
          <w:left w:w="0" w:type="dxa"/>
          <w:bottom w:w="0" w:type="dxa"/>
          <w:right w:w="0" w:type="dxa"/>
        </w:tblCellMar>
      </w:tblPr>
      <w:tblGrid>
        <w:gridCol w:w="690"/>
        <w:gridCol w:w="1275"/>
        <w:gridCol w:w="525"/>
        <w:gridCol w:w="1185"/>
        <w:gridCol w:w="810"/>
        <w:gridCol w:w="1155"/>
        <w:gridCol w:w="1110"/>
        <w:gridCol w:w="435"/>
      </w:tblGrid>
      <w:tr>
        <w:tblPrEx>
          <w:shd w:val="clear" w:color="auto" w:fill="auto"/>
          <w:tblCellMar>
            <w:top w:w="0" w:type="dxa"/>
            <w:left w:w="0" w:type="dxa"/>
            <w:bottom w:w="0" w:type="dxa"/>
            <w:right w:w="0" w:type="dxa"/>
          </w:tblCellMar>
        </w:tblPrEx>
        <w:trPr>
          <w:trHeight w:val="825" w:hRule="atLeast"/>
        </w:trPr>
        <w:tc>
          <w:tcPr>
            <w:tcW w:w="718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整体支出绩效目标申报表</w:t>
            </w:r>
          </w:p>
        </w:tc>
      </w:tr>
      <w:tr>
        <w:tblPrEx>
          <w:tblCellMar>
            <w:top w:w="0" w:type="dxa"/>
            <w:left w:w="0" w:type="dxa"/>
            <w:bottom w:w="0" w:type="dxa"/>
            <w:right w:w="0" w:type="dxa"/>
          </w:tblCellMar>
        </w:tblPrEx>
        <w:trPr>
          <w:trHeight w:val="327" w:hRule="atLeast"/>
        </w:trPr>
        <w:tc>
          <w:tcPr>
            <w:tcW w:w="718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4</w:t>
            </w:r>
            <w:r>
              <w:rPr>
                <w:rFonts w:ascii="宋体" w:hAnsi="宋体" w:eastAsia="宋体" w:cs="宋体"/>
                <w:i w:val="0"/>
                <w:color w:val="000000"/>
                <w:kern w:val="0"/>
                <w:sz w:val="18"/>
                <w:szCs w:val="18"/>
                <w:u w:val="none"/>
                <w:lang w:val="en-US" w:eastAsia="zh-CN" w:bidi="ar"/>
              </w:rPr>
              <w:t>年度）</w:t>
            </w:r>
          </w:p>
        </w:tc>
      </w:tr>
      <w:tr>
        <w:tblPrEx>
          <w:tblCellMar>
            <w:top w:w="0" w:type="dxa"/>
            <w:left w:w="0" w:type="dxa"/>
            <w:bottom w:w="0" w:type="dxa"/>
            <w:right w:w="0" w:type="dxa"/>
          </w:tblCellMar>
        </w:tblPrEx>
        <w:trPr>
          <w:trHeight w:val="327" w:hRule="atLeast"/>
        </w:trPr>
        <w:tc>
          <w:tcPr>
            <w:tcW w:w="7185"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653" w:hRule="atLeast"/>
        </w:trPr>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单位</w:t>
            </w:r>
            <w:r>
              <w:rPr>
                <w:rFonts w:ascii="宋体" w:hAnsi="宋体" w:eastAsia="宋体" w:cs="宋体"/>
                <w:i w:val="0"/>
                <w:color w:val="000000"/>
                <w:kern w:val="0"/>
                <w:sz w:val="18"/>
                <w:szCs w:val="18"/>
                <w:u w:val="none"/>
                <w:lang w:val="en-US" w:eastAsia="zh-CN" w:bidi="ar"/>
              </w:rPr>
              <w:t>名称</w:t>
            </w:r>
          </w:p>
        </w:tc>
        <w:tc>
          <w:tcPr>
            <w:tcW w:w="46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乐山市奥林匹克学校</w:t>
            </w:r>
          </w:p>
        </w:tc>
      </w:tr>
      <w:tr>
        <w:tblPrEx>
          <w:tblCellMar>
            <w:top w:w="0" w:type="dxa"/>
            <w:left w:w="0" w:type="dxa"/>
            <w:bottom w:w="0" w:type="dxa"/>
            <w:right w:w="0" w:type="dxa"/>
          </w:tblCellMar>
        </w:tblPrEx>
        <w:trPr>
          <w:trHeight w:val="65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年度主要任务</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任务名称</w:t>
            </w:r>
          </w:p>
        </w:tc>
        <w:tc>
          <w:tcPr>
            <w:tcW w:w="46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主要内容</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培养和输送高水平体育后备人才和社会体育人才</w:t>
            </w:r>
          </w:p>
        </w:tc>
        <w:tc>
          <w:tcPr>
            <w:tcW w:w="46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培养和输送高水平体育后备人才和社会体育人才</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承担乐山市组队参加省运会和全国单项比赛任务</w:t>
            </w:r>
          </w:p>
        </w:tc>
        <w:tc>
          <w:tcPr>
            <w:tcW w:w="46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完成省十四运会各运动队组队及备战训练任务</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w:t>
            </w:r>
            <w:r>
              <w:rPr>
                <w:rFonts w:hint="eastAsia" w:ascii="宋体" w:hAnsi="宋体" w:cs="宋体"/>
                <w:i w:val="0"/>
                <w:color w:val="000000"/>
                <w:kern w:val="0"/>
                <w:sz w:val="18"/>
                <w:szCs w:val="18"/>
                <w:u w:val="none"/>
                <w:lang w:val="en-US" w:eastAsia="zh-CN" w:bidi="ar"/>
              </w:rPr>
              <w:t>单位</w:t>
            </w:r>
            <w:r>
              <w:rPr>
                <w:rFonts w:ascii="宋体" w:hAnsi="宋体" w:eastAsia="宋体" w:cs="宋体"/>
                <w:i w:val="0"/>
                <w:color w:val="000000"/>
                <w:kern w:val="0"/>
                <w:sz w:val="18"/>
                <w:szCs w:val="18"/>
                <w:u w:val="none"/>
                <w:lang w:val="en-US" w:eastAsia="zh-CN" w:bidi="ar"/>
              </w:rPr>
              <w:t>整体支出预算</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资金总额</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财政拨款</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684.5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684.5</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年度总体目标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完成省十</w:t>
            </w:r>
            <w:r>
              <w:rPr>
                <w:rFonts w:hint="eastAsia" w:ascii="宋体" w:hAnsi="宋体" w:cs="宋体"/>
                <w:i w:val="0"/>
                <w:color w:val="000000"/>
                <w:kern w:val="0"/>
                <w:sz w:val="18"/>
                <w:szCs w:val="18"/>
                <w:u w:val="none"/>
                <w:lang w:val="en-US" w:eastAsia="zh-CN" w:bidi="ar"/>
              </w:rPr>
              <w:t>五</w:t>
            </w:r>
            <w:r>
              <w:rPr>
                <w:rFonts w:ascii="宋体" w:hAnsi="宋体" w:eastAsia="宋体" w:cs="宋体"/>
                <w:i w:val="0"/>
                <w:color w:val="000000"/>
                <w:kern w:val="0"/>
                <w:sz w:val="18"/>
                <w:szCs w:val="18"/>
                <w:u w:val="none"/>
                <w:lang w:val="en-US" w:eastAsia="zh-CN" w:bidi="ar"/>
              </w:rPr>
              <w:t>运会各运动队组队参赛；完成202</w:t>
            </w:r>
            <w:r>
              <w:rPr>
                <w:rFonts w:hint="eastAsia" w:ascii="宋体" w:hAnsi="宋体" w:cs="宋体"/>
                <w:i w:val="0"/>
                <w:color w:val="000000"/>
                <w:kern w:val="0"/>
                <w:sz w:val="18"/>
                <w:szCs w:val="18"/>
                <w:u w:val="none"/>
                <w:lang w:val="en-US" w:eastAsia="zh-CN" w:bidi="ar"/>
              </w:rPr>
              <w:t>4</w:t>
            </w:r>
            <w:r>
              <w:rPr>
                <w:rFonts w:ascii="宋体" w:hAnsi="宋体" w:eastAsia="宋体" w:cs="宋体"/>
                <w:i w:val="0"/>
                <w:color w:val="000000"/>
                <w:kern w:val="0"/>
                <w:sz w:val="18"/>
                <w:szCs w:val="18"/>
                <w:u w:val="none"/>
                <w:lang w:val="en-US" w:eastAsia="zh-CN" w:bidi="ar"/>
              </w:rPr>
              <w:t>年基础教育教学工作。</w:t>
            </w:r>
          </w:p>
        </w:tc>
      </w:tr>
      <w:tr>
        <w:tblPrEx>
          <w:tblCellMar>
            <w:top w:w="0" w:type="dxa"/>
            <w:left w:w="0" w:type="dxa"/>
            <w:bottom w:w="0" w:type="dxa"/>
            <w:right w:w="0" w:type="dxa"/>
          </w:tblCellMar>
        </w:tblPrEx>
        <w:trPr>
          <w:trHeight w:val="65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年度绩效指标</w:t>
            </w:r>
          </w:p>
        </w:tc>
        <w:tc>
          <w:tcPr>
            <w:tcW w:w="127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指标值（包含数字及文字描述）</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参赛人数</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≥300人</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参赛质量</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优秀</w:t>
            </w:r>
          </w:p>
        </w:tc>
      </w:tr>
      <w:tr>
        <w:tblPrEx>
          <w:tblCellMar>
            <w:top w:w="0" w:type="dxa"/>
            <w:left w:w="0" w:type="dxa"/>
            <w:bottom w:w="0" w:type="dxa"/>
            <w:right w:w="0" w:type="dxa"/>
          </w:tblCellMar>
        </w:tblPrEx>
        <w:trPr>
          <w:trHeight w:val="6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1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w:t>
            </w:r>
          </w:p>
        </w:tc>
        <w:tc>
          <w:tcPr>
            <w:tcW w:w="196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提升学校知名度</w:t>
            </w:r>
          </w:p>
        </w:tc>
        <w:tc>
          <w:tcPr>
            <w:tcW w:w="154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明显提升</w:t>
            </w:r>
          </w:p>
        </w:tc>
      </w:tr>
      <w:tr>
        <w:tblPrEx>
          <w:tblCellMar>
            <w:top w:w="0" w:type="dxa"/>
            <w:left w:w="0" w:type="dxa"/>
            <w:bottom w:w="0" w:type="dxa"/>
            <w:right w:w="0"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社会满意度</w:t>
            </w:r>
          </w:p>
        </w:tc>
        <w:tc>
          <w:tcPr>
            <w:tcW w:w="154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numPr>
          <w:ilvl w:val="0"/>
          <w:numId w:val="3"/>
        </w:numPr>
        <w:spacing w:before="0" w:beforeAutospacing="0" w:after="0" w:afterAutospacing="0" w:line="600" w:lineRule="exact"/>
        <w:ind w:left="0" w:leftChars="0" w:firstLine="640" w:firstLineChars="200"/>
        <w:jc w:val="both"/>
        <w:outlineLvl w:val="1"/>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政府采购预算表（公开表8）</w:t>
      </w:r>
    </w:p>
    <w:tbl>
      <w:tblPr>
        <w:tblStyle w:val="5"/>
        <w:tblW w:w="8850" w:type="dxa"/>
        <w:tblInd w:w="0" w:type="dxa"/>
        <w:shd w:val="clear" w:color="auto" w:fill="auto"/>
        <w:tblLayout w:type="autofit"/>
        <w:tblCellMar>
          <w:top w:w="0" w:type="dxa"/>
          <w:left w:w="0" w:type="dxa"/>
          <w:bottom w:w="0" w:type="dxa"/>
          <w:right w:w="0" w:type="dxa"/>
        </w:tblCellMar>
      </w:tblPr>
      <w:tblGrid>
        <w:gridCol w:w="1008"/>
        <w:gridCol w:w="2070"/>
        <w:gridCol w:w="1076"/>
        <w:gridCol w:w="1110"/>
        <w:gridCol w:w="1008"/>
        <w:gridCol w:w="1008"/>
        <w:gridCol w:w="1570"/>
      </w:tblGrid>
      <w:tr>
        <w:tblPrEx>
          <w:shd w:val="clear" w:color="auto" w:fill="auto"/>
          <w:tblCellMar>
            <w:top w:w="0" w:type="dxa"/>
            <w:left w:w="0" w:type="dxa"/>
            <w:bottom w:w="0" w:type="dxa"/>
            <w:right w:w="0" w:type="dxa"/>
          </w:tblCellMar>
        </w:tblPrEx>
        <w:trPr>
          <w:trHeight w:val="499" w:hRule="atLeast"/>
        </w:trPr>
        <w:tc>
          <w:tcPr>
            <w:tcW w:w="8850" w:type="dxa"/>
            <w:gridSpan w:val="7"/>
            <w:tcBorders>
              <w:top w:val="single" w:color="FFFFFF" w:sz="4" w:space="0"/>
              <w:left w:val="single" w:color="FFFFFF" w:sz="4" w:space="0"/>
              <w:bottom w:val="single" w:color="FFFFFF" w:sz="4" w:space="0"/>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政 府 采 购 预 算 表</w:t>
            </w:r>
          </w:p>
        </w:tc>
      </w:tr>
      <w:tr>
        <w:tblPrEx>
          <w:tblCellMar>
            <w:top w:w="0" w:type="dxa"/>
            <w:left w:w="0" w:type="dxa"/>
            <w:bottom w:w="0" w:type="dxa"/>
            <w:right w:w="0" w:type="dxa"/>
          </w:tblCellMar>
        </w:tblPrEx>
        <w:trPr>
          <w:trHeight w:val="499" w:hRule="atLeast"/>
        </w:trPr>
        <w:tc>
          <w:tcPr>
            <w:tcW w:w="0" w:type="auto"/>
            <w:gridSpan w:val="2"/>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 xml:space="preserve">： 乐山市奥林匹克学校  </w:t>
            </w:r>
          </w:p>
        </w:tc>
        <w:tc>
          <w:tcPr>
            <w:tcW w:w="1200"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60"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nil"/>
              <w:right w:val="single" w:color="FFFFFF"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99" w:hRule="atLeast"/>
        </w:trPr>
        <w:tc>
          <w:tcPr>
            <w:tcW w:w="5610" w:type="dxa"/>
            <w:gridSpan w:val="4"/>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采购数量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面向中小企业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政府采购预算</w:t>
            </w:r>
          </w:p>
        </w:tc>
      </w:tr>
      <w:tr>
        <w:tblPrEx>
          <w:tblCellMar>
            <w:top w:w="0" w:type="dxa"/>
            <w:left w:w="0" w:type="dxa"/>
            <w:bottom w:w="0" w:type="dxa"/>
            <w:right w:w="0" w:type="dxa"/>
          </w:tblCellMar>
        </w:tblPrEx>
        <w:trPr>
          <w:trHeight w:val="499"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单位代码</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单位名称（科目）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品目序号</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品目名称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4"/>
        <w:widowControl/>
        <w:numPr>
          <w:ilvl w:val="0"/>
          <w:numId w:val="0"/>
        </w:numPr>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rPr>
      </w:pPr>
    </w:p>
    <w:p>
      <w:pPr>
        <w:pStyle w:val="4"/>
        <w:widowControl/>
        <w:spacing w:before="0" w:beforeAutospacing="0" w:after="0" w:afterAutospacing="0" w:line="600" w:lineRule="exact"/>
        <w:ind w:firstLine="640" w:firstLineChars="200"/>
        <w:jc w:val="both"/>
        <w:outlineLvl w:val="1"/>
        <w:rPr>
          <w:rFonts w:ascii="Times New Roman" w:hAnsi="Times New Roman" w:eastAsia="仿宋_GB2312" w:cs="仿宋_GB2312"/>
          <w:color w:val="333333"/>
          <w:sz w:val="32"/>
          <w:szCs w:val="32"/>
        </w:rPr>
      </w:pPr>
    </w:p>
    <w:p>
      <w:pPr>
        <w:pStyle w:val="4"/>
        <w:widowControl/>
        <w:spacing w:before="0" w:beforeAutospacing="0" w:after="0" w:afterAutospacing="0"/>
        <w:jc w:val="both"/>
        <w:rPr>
          <w:rFonts w:ascii="Times New Roman" w:hAnsi="Times New Roman" w:eastAsia="仿宋_GB2312" w:cs="仿宋_GB2312"/>
          <w:color w:val="333333"/>
          <w:sz w:val="32"/>
          <w:szCs w:val="32"/>
        </w:rPr>
      </w:pPr>
    </w:p>
    <w:p>
      <w:pPr>
        <w:pStyle w:val="4"/>
        <w:widowControl/>
        <w:spacing w:before="0" w:beforeAutospacing="0" w:after="0" w:afterAutospacing="0"/>
        <w:jc w:val="both"/>
        <w:rPr>
          <w:rFonts w:ascii="Times New Roman" w:hAnsi="Times New Roman" w:eastAsia="仿宋_GB2312" w:cs="仿宋_GB2312"/>
          <w:color w:val="333333"/>
          <w:sz w:val="32"/>
          <w:szCs w:val="32"/>
        </w:rPr>
        <w:sectPr>
          <w:footerReference r:id="rId6" w:type="default"/>
          <w:pgSz w:w="11906" w:h="16838"/>
          <w:pgMar w:top="1440" w:right="1800" w:bottom="1440" w:left="1800" w:header="720" w:footer="720" w:gutter="0"/>
          <w:pgNumType w:fmt="numberInDash" w:start="2"/>
          <w:cols w:space="720" w:num="1"/>
          <w:docGrid w:type="lines" w:linePitch="312" w:charSpace="0"/>
        </w:sect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line="600" w:lineRule="exact"/>
        <w:jc w:val="center"/>
        <w:outlineLvl w:val="0"/>
        <w:rPr>
          <w:rFonts w:hint="eastAsia" w:ascii="Times New Roman" w:hAnsi="Times New Roman" w:eastAsia="方正小标宋简体" w:cs="方正小标宋简体"/>
          <w:sz w:val="52"/>
          <w:szCs w:val="52"/>
          <w:lang w:eastAsia="zh-CN" w:bidi="ar"/>
        </w:rPr>
      </w:pPr>
      <w:r>
        <w:rPr>
          <w:rFonts w:hint="eastAsia" w:ascii="Times New Roman" w:hAnsi="Times New Roman" w:eastAsia="方正小标宋简体" w:cs="方正小标宋简体"/>
          <w:sz w:val="52"/>
          <w:szCs w:val="52"/>
          <w:lang w:bidi="ar"/>
        </w:rPr>
        <w:t xml:space="preserve">第三部分 </w:t>
      </w:r>
      <w:r>
        <w:rPr>
          <w:rFonts w:hint="eastAsia" w:ascii="Times New Roman" w:hAnsi="Times New Roman" w:eastAsia="方正小标宋简体" w:cs="方正小标宋简体"/>
          <w:sz w:val="52"/>
          <w:szCs w:val="52"/>
          <w:lang w:val="en-US" w:eastAsia="zh-CN" w:bidi="ar"/>
        </w:rPr>
        <w:t>乐山市奥林匹克学校</w:t>
      </w:r>
    </w:p>
    <w:p>
      <w:pPr>
        <w:pStyle w:val="4"/>
        <w:widowControl/>
        <w:spacing w:before="0" w:beforeAutospacing="0" w:after="0" w:afterAutospacing="0" w:line="600" w:lineRule="exact"/>
        <w:jc w:val="center"/>
        <w:outlineLvl w:val="1"/>
        <w:rPr>
          <w:rFonts w:hint="eastAsia"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202</w:t>
      </w:r>
      <w:r>
        <w:rPr>
          <w:rFonts w:hint="eastAsia" w:ascii="Times New Roman" w:hAnsi="Times New Roman" w:eastAsia="方正小标宋简体" w:cs="方正小标宋简体"/>
          <w:sz w:val="52"/>
          <w:szCs w:val="52"/>
          <w:lang w:val="en-US" w:eastAsia="zh-CN" w:bidi="ar"/>
        </w:rPr>
        <w:t>4</w:t>
      </w:r>
      <w:r>
        <w:rPr>
          <w:rFonts w:hint="eastAsia" w:ascii="Times New Roman" w:hAnsi="Times New Roman" w:eastAsia="方正小标宋简体" w:cs="方正小标宋简体"/>
          <w:sz w:val="52"/>
          <w:szCs w:val="52"/>
          <w:lang w:bidi="ar"/>
        </w:rPr>
        <w:t>年</w:t>
      </w:r>
      <w:r>
        <w:rPr>
          <w:rFonts w:hint="eastAsia" w:ascii="Times New Roman" w:hAnsi="Times New Roman" w:eastAsia="方正小标宋简体" w:cs="方正小标宋简体"/>
          <w:sz w:val="52"/>
          <w:szCs w:val="52"/>
          <w:lang w:eastAsia="zh-CN" w:bidi="ar"/>
        </w:rPr>
        <w:t>单位</w:t>
      </w:r>
      <w:r>
        <w:rPr>
          <w:rFonts w:hint="eastAsia" w:ascii="Times New Roman" w:hAnsi="Times New Roman" w:eastAsia="方正小标宋简体" w:cs="方正小标宋简体"/>
          <w:sz w:val="52"/>
          <w:szCs w:val="52"/>
          <w:lang w:bidi="ar"/>
        </w:rPr>
        <w:t>预算情况说明</w:t>
      </w:r>
    </w:p>
    <w:p>
      <w:pPr>
        <w:pStyle w:val="4"/>
        <w:widowControl/>
        <w:spacing w:before="0" w:beforeAutospacing="0" w:after="0" w:afterAutospacing="0" w:line="600" w:lineRule="exact"/>
        <w:ind w:firstLine="640" w:firstLineChars="200"/>
        <w:jc w:val="both"/>
        <w:rPr>
          <w:rFonts w:hint="eastAsia" w:ascii="Times New Roman" w:hAnsi="Times New Roman" w:eastAsia="黑体"/>
          <w:sz w:val="32"/>
          <w:szCs w:val="32"/>
        </w:rPr>
        <w:sectPr>
          <w:footerReference r:id="rId7" w:type="default"/>
          <w:pgSz w:w="11906" w:h="16838"/>
          <w:pgMar w:top="1440" w:right="1800" w:bottom="1440" w:left="1800" w:header="720" w:footer="720" w:gutter="0"/>
          <w:pgNumType w:fmt="numberInDash"/>
          <w:cols w:space="720" w:num="1"/>
          <w:docGrid w:type="lines" w:linePitch="312" w:charSpace="0"/>
        </w:sect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黑体"/>
          <w:sz w:val="32"/>
          <w:szCs w:val="32"/>
        </w:rPr>
      </w:pPr>
      <w:r>
        <w:rPr>
          <w:rFonts w:hint="eastAsia" w:ascii="Times New Roman" w:hAnsi="Times New Roman" w:eastAsia="黑体"/>
          <w:sz w:val="32"/>
          <w:szCs w:val="32"/>
        </w:rPr>
        <w:t>一、收支预算情况说明</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（一）收入预算情况</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乐山市奥林匹克学校</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年收入预算</w:t>
      </w:r>
      <w:r>
        <w:rPr>
          <w:rFonts w:hint="eastAsia" w:ascii="Times New Roman" w:hAnsi="Times New Roman" w:eastAsia="仿宋_GB2312"/>
          <w:sz w:val="32"/>
          <w:szCs w:val="32"/>
          <w:lang w:val="en-US" w:eastAsia="zh-CN"/>
        </w:rPr>
        <w:t>684.5</w:t>
      </w:r>
      <w:r>
        <w:rPr>
          <w:rFonts w:hint="eastAsia" w:ascii="Times New Roman" w:hAnsi="Times New Roman" w:eastAsia="仿宋_GB2312"/>
          <w:sz w:val="32"/>
          <w:szCs w:val="32"/>
        </w:rPr>
        <w:t>万元一般公共预算拨款收入</w:t>
      </w:r>
      <w:r>
        <w:rPr>
          <w:rFonts w:hint="eastAsia" w:ascii="Times New Roman" w:hAnsi="Times New Roman" w:eastAsia="仿宋_GB2312"/>
          <w:sz w:val="32"/>
          <w:szCs w:val="32"/>
          <w:lang w:val="en-US" w:eastAsia="zh-CN"/>
        </w:rPr>
        <w:t>684.5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（二）支出预算情况</w:t>
      </w:r>
    </w:p>
    <w:p>
      <w:pPr>
        <w:spacing w:line="580" w:lineRule="exact"/>
        <w:ind w:firstLine="640" w:firstLineChars="200"/>
        <w:rPr>
          <w:rFonts w:hint="eastAsia" w:ascii="Times New Roman" w:hAnsi="Times New Roman" w:eastAsia="仿宋_GB2312"/>
          <w:sz w:val="32"/>
          <w:szCs w:val="32"/>
          <w:u w:val="single"/>
          <w:lang w:val="en-US" w:eastAsia="zh-CN"/>
        </w:rPr>
      </w:pPr>
      <w:r>
        <w:rPr>
          <w:rFonts w:hint="eastAsia" w:ascii="Times New Roman" w:hAnsi="Times New Roman" w:eastAsia="仿宋_GB2312"/>
          <w:sz w:val="32"/>
          <w:szCs w:val="32"/>
          <w:lang w:val="en-US" w:eastAsia="zh-CN"/>
        </w:rPr>
        <w:t>乐山市奥林匹克学校</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年支出预算</w:t>
      </w:r>
      <w:r>
        <w:rPr>
          <w:rFonts w:hint="eastAsia" w:ascii="Times New Roman" w:hAnsi="Times New Roman" w:eastAsia="仿宋_GB2312"/>
          <w:sz w:val="32"/>
          <w:szCs w:val="32"/>
          <w:lang w:val="en-US" w:eastAsia="zh-CN"/>
        </w:rPr>
        <w:t>684.5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646.7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94.48</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37.8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5.52%。</w:t>
      </w: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二、财政拨款收支预算情况说明</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乐山市奥林匹克学校</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年财政拨款收支预算总数</w:t>
      </w:r>
      <w:r>
        <w:rPr>
          <w:rFonts w:hint="eastAsia" w:ascii="Times New Roman" w:hAnsi="Times New Roman" w:eastAsia="仿宋_GB2312"/>
          <w:sz w:val="32"/>
          <w:szCs w:val="32"/>
          <w:lang w:val="en-US" w:eastAsia="zh-CN"/>
        </w:rPr>
        <w:t>646.7</w:t>
      </w:r>
      <w:r>
        <w:rPr>
          <w:rFonts w:hint="eastAsia" w:ascii="Times New Roman" w:hAnsi="Times New Roman" w:eastAsia="仿宋_GB2312"/>
          <w:sz w:val="32"/>
          <w:szCs w:val="32"/>
        </w:rPr>
        <w:t>万元,比202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年财政拨款收支预算总数</w:t>
      </w:r>
      <w:r>
        <w:rPr>
          <w:rFonts w:hint="eastAsia" w:ascii="Times New Roman" w:hAnsi="Times New Roman" w:eastAsia="仿宋_GB2312"/>
          <w:sz w:val="32"/>
          <w:szCs w:val="32"/>
          <w:u w:val="single"/>
          <w:lang w:val="en-US" w:eastAsia="zh-CN"/>
        </w:rPr>
        <w:t>减少</w:t>
      </w:r>
      <w:r>
        <w:rPr>
          <w:rFonts w:hint="eastAsia" w:ascii="Times New Roman" w:hAnsi="Times New Roman" w:eastAsia="仿宋_GB2312"/>
          <w:sz w:val="32"/>
          <w:szCs w:val="32"/>
          <w:lang w:val="en-US" w:eastAsia="zh-CN"/>
        </w:rPr>
        <w:t>21.61</w:t>
      </w:r>
      <w:r>
        <w:rPr>
          <w:rFonts w:hint="eastAsia" w:ascii="Times New Roman" w:hAnsi="Times New Roman" w:eastAsia="仿宋_GB2312"/>
          <w:sz w:val="32"/>
          <w:szCs w:val="32"/>
        </w:rPr>
        <w:t>万元，主要原因是</w:t>
      </w:r>
      <w:r>
        <w:rPr>
          <w:rFonts w:hint="eastAsia" w:ascii="Times New Roman" w:hAnsi="Times New Roman" w:eastAsia="仿宋_GB2312"/>
          <w:sz w:val="32"/>
          <w:szCs w:val="32"/>
          <w:lang w:val="en-US" w:eastAsia="zh-CN"/>
        </w:rPr>
        <w:t>人员减少</w:t>
      </w:r>
      <w:r>
        <w:rPr>
          <w:rFonts w:hint="eastAsia" w:ascii="Times New Roman" w:hAnsi="Times New Roman" w:eastAsia="仿宋_GB2312"/>
          <w:sz w:val="32"/>
          <w:szCs w:val="32"/>
        </w:rPr>
        <w:t>。</w:t>
      </w:r>
    </w:p>
    <w:p>
      <w:pPr>
        <w:spacing w:line="580" w:lineRule="exact"/>
        <w:ind w:firstLine="640" w:firstLineChars="200"/>
        <w:rPr>
          <w:rFonts w:hint="eastAsia" w:ascii="Times New Roman" w:hAnsi="Times New Roman" w:eastAsia="仿宋_GB2312"/>
          <w:sz w:val="32"/>
          <w:szCs w:val="32"/>
        </w:rPr>
        <w:sectPr>
          <w:footerReference r:id="rId8" w:type="default"/>
          <w:pgSz w:w="11906" w:h="16838"/>
          <w:pgMar w:top="1440" w:right="1800" w:bottom="1440" w:left="1800" w:header="720" w:footer="720" w:gutter="0"/>
          <w:pgNumType w:fmt="numberInDash" w:start="3"/>
          <w:cols w:space="720" w:num="1"/>
          <w:docGrid w:type="lines" w:linePitch="312" w:charSpace="0"/>
        </w:sectPr>
      </w:pP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三、一般公共预算当年拨款情况说明</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（一）一般公共预算当年拨款规模变化情况</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乐山市奥林匹克学校</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年一般公共预算当年拨款</w:t>
      </w:r>
      <w:r>
        <w:rPr>
          <w:rFonts w:hint="eastAsia" w:ascii="Times New Roman" w:hAnsi="Times New Roman" w:eastAsia="仿宋_GB2312"/>
          <w:sz w:val="32"/>
          <w:szCs w:val="32"/>
          <w:lang w:val="en-US" w:eastAsia="zh-CN"/>
        </w:rPr>
        <w:t>684.5</w:t>
      </w:r>
      <w:r>
        <w:rPr>
          <w:rFonts w:hint="eastAsia" w:ascii="Times New Roman" w:hAnsi="Times New Roman" w:eastAsia="仿宋_GB2312"/>
          <w:sz w:val="32"/>
          <w:szCs w:val="32"/>
        </w:rPr>
        <w:t>万元，比202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年预算数</w:t>
      </w:r>
      <w:r>
        <w:rPr>
          <w:rFonts w:hint="eastAsia" w:ascii="Times New Roman" w:hAnsi="Times New Roman" w:eastAsia="仿宋_GB2312"/>
          <w:sz w:val="32"/>
          <w:szCs w:val="32"/>
          <w:u w:val="single"/>
        </w:rPr>
        <w:t>减少</w:t>
      </w:r>
      <w:r>
        <w:rPr>
          <w:rFonts w:hint="eastAsia" w:ascii="Times New Roman" w:hAnsi="Times New Roman" w:eastAsia="仿宋_GB2312"/>
          <w:sz w:val="32"/>
          <w:szCs w:val="32"/>
          <w:lang w:val="en-US" w:eastAsia="zh-CN"/>
        </w:rPr>
        <w:t>21.61</w:t>
      </w:r>
      <w:r>
        <w:rPr>
          <w:rFonts w:hint="eastAsia" w:ascii="Times New Roman" w:hAnsi="Times New Roman" w:eastAsia="仿宋_GB2312"/>
          <w:sz w:val="32"/>
          <w:szCs w:val="32"/>
        </w:rPr>
        <w:t>万元，主要原因是</w:t>
      </w:r>
      <w:r>
        <w:rPr>
          <w:rFonts w:hint="eastAsia" w:ascii="Times New Roman" w:hAnsi="Times New Roman" w:eastAsia="仿宋_GB2312"/>
          <w:sz w:val="32"/>
          <w:szCs w:val="32"/>
          <w:lang w:val="en-US" w:eastAsia="zh-CN"/>
        </w:rPr>
        <w:t>人员减少</w:t>
      </w:r>
      <w:r>
        <w:rPr>
          <w:rFonts w:hint="eastAsia" w:ascii="Times New Roman" w:hAnsi="Times New Roman" w:eastAsia="仿宋_GB2312"/>
          <w:sz w:val="32"/>
          <w:szCs w:val="32"/>
        </w:rPr>
        <w:t>。</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（二）一般公共预算当年拨款结构情况</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初中教育支出507.35万元占74</w:t>
      </w:r>
      <w:r>
        <w:rPr>
          <w:rFonts w:hint="eastAsia" w:ascii="Times New Roman" w:hAnsi="Times New Roman" w:eastAsia="仿宋_GB2312"/>
          <w:sz w:val="32"/>
          <w:szCs w:val="32"/>
        </w:rPr>
        <w:t>%；机关事业单位基本养老保险缴费支出</w:t>
      </w:r>
      <w:r>
        <w:rPr>
          <w:rFonts w:hint="eastAsia" w:ascii="Times New Roman" w:hAnsi="Times New Roman" w:eastAsia="仿宋_GB2312"/>
          <w:sz w:val="32"/>
          <w:szCs w:val="32"/>
          <w:lang w:val="en-US" w:eastAsia="zh-CN"/>
        </w:rPr>
        <w:t>64.48万元占9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；机关事业单位职业年金缴费支出</w:t>
      </w:r>
      <w:r>
        <w:rPr>
          <w:rFonts w:hint="eastAsia" w:ascii="Times New Roman" w:hAnsi="Times New Roman" w:eastAsia="仿宋_GB2312"/>
          <w:sz w:val="32"/>
          <w:szCs w:val="32"/>
          <w:lang w:val="en-US" w:eastAsia="zh-CN"/>
        </w:rPr>
        <w:t>32.24万元占5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；其他社会保障和就业支出</w:t>
      </w:r>
      <w:r>
        <w:rPr>
          <w:rFonts w:hint="eastAsia" w:ascii="Times New Roman" w:hAnsi="Times New Roman" w:eastAsia="仿宋_GB2312"/>
          <w:sz w:val="32"/>
          <w:szCs w:val="32"/>
          <w:lang w:val="en-US" w:eastAsia="zh-CN"/>
        </w:rPr>
        <w:t>8.28万元占1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；事业单位医疗</w:t>
      </w:r>
      <w:r>
        <w:rPr>
          <w:rFonts w:hint="eastAsia" w:ascii="Times New Roman" w:hAnsi="Times New Roman" w:eastAsia="仿宋_GB2312"/>
          <w:sz w:val="32"/>
          <w:szCs w:val="32"/>
          <w:lang w:val="en-US" w:eastAsia="zh-CN"/>
        </w:rPr>
        <w:t>20.6万元占3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lang w:val="en-US" w:eastAsia="zh-CN"/>
        </w:rPr>
        <w:t>51.55万元占8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（三）一般公共预算当年拨款具体使用情况</w:t>
      </w:r>
    </w:p>
    <w:p>
      <w:pPr>
        <w:pStyle w:val="12"/>
        <w:numPr>
          <w:ilvl w:val="2"/>
          <w:numId w:val="4"/>
        </w:numPr>
        <w:tabs>
          <w:tab w:val="left" w:pos="1163"/>
        </w:tabs>
        <w:spacing w:before="171" w:after="0" w:line="338" w:lineRule="auto"/>
        <w:ind w:left="280" w:right="277" w:firstLine="64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教育支出（类）普通教育（款）初中教育（项）2024 年预算数为507.35万元，主要用于：乐山市奥林匹克学校人员工资福利支出和日常公用经费支出。</w:t>
      </w:r>
    </w:p>
    <w:p>
      <w:pPr>
        <w:pStyle w:val="13"/>
        <w:rPr>
          <w:rFonts w:hint="eastAsia"/>
        </w:rPr>
      </w:pPr>
      <w:r>
        <w:rPr>
          <w:rFonts w:hint="eastAsia"/>
          <w:lang w:val="en-US" w:eastAsia="zh-CN"/>
        </w:rPr>
        <w:t>2</w:t>
      </w:r>
      <w:r>
        <w:rPr>
          <w:rFonts w:hint="eastAsia"/>
        </w:rPr>
        <w:t>.社会保障和就业（类）行政事业单位离退休（款）机关事业单位基本养老保险缴费支出（项）:202</w:t>
      </w:r>
      <w:r>
        <w:rPr>
          <w:rFonts w:hint="eastAsia"/>
          <w:lang w:val="en-US" w:eastAsia="zh-CN"/>
        </w:rPr>
        <w:t>4</w:t>
      </w:r>
      <w:r>
        <w:rPr>
          <w:rFonts w:hint="eastAsia"/>
        </w:rPr>
        <w:t>年预算数为</w:t>
      </w:r>
      <w:r>
        <w:rPr>
          <w:rFonts w:hint="eastAsia"/>
          <w:lang w:val="en-US" w:eastAsia="zh-CN"/>
        </w:rPr>
        <w:t>64.48</w:t>
      </w:r>
      <w:r>
        <w:rPr>
          <w:rFonts w:hint="eastAsia"/>
        </w:rPr>
        <w:t>万元，主要用于：实施养老保险制度后，</w:t>
      </w:r>
      <w:r>
        <w:rPr>
          <w:rFonts w:hint="eastAsia"/>
          <w:lang w:val="en-US" w:eastAsia="zh-CN"/>
        </w:rPr>
        <w:t>单位</w:t>
      </w:r>
      <w:r>
        <w:rPr>
          <w:rFonts w:hint="eastAsia"/>
        </w:rPr>
        <w:t>按规定由单位缴纳的基本养老保险费支出。</w:t>
      </w:r>
    </w:p>
    <w:p>
      <w:pPr>
        <w:pStyle w:val="13"/>
        <w:rPr>
          <w:rFonts w:hint="eastAsia"/>
        </w:rPr>
      </w:pPr>
      <w:r>
        <w:rPr>
          <w:rFonts w:hint="eastAsia"/>
          <w:lang w:val="en-US" w:eastAsia="zh-CN"/>
        </w:rPr>
        <w:t>3</w:t>
      </w:r>
      <w:r>
        <w:rPr>
          <w:rFonts w:hint="eastAsia"/>
        </w:rPr>
        <w:t>.社会保障和就业（类）行政事业单位离退休（款）机关事业单位职业年金缴费支出（项）:202</w:t>
      </w:r>
      <w:r>
        <w:rPr>
          <w:rFonts w:hint="eastAsia"/>
          <w:lang w:val="en-US" w:eastAsia="zh-CN"/>
        </w:rPr>
        <w:t>4</w:t>
      </w:r>
      <w:r>
        <w:rPr>
          <w:rFonts w:hint="eastAsia"/>
        </w:rPr>
        <w:t>年预算数为</w:t>
      </w:r>
      <w:r>
        <w:rPr>
          <w:rFonts w:hint="eastAsia"/>
          <w:lang w:val="en-US" w:eastAsia="zh-CN"/>
        </w:rPr>
        <w:t>32.24</w:t>
      </w:r>
      <w:r>
        <w:rPr>
          <w:rFonts w:hint="eastAsia"/>
        </w:rPr>
        <w:t>万元，主要用于：实施养老保险制度后，</w:t>
      </w:r>
      <w:r>
        <w:rPr>
          <w:rFonts w:hint="eastAsia"/>
          <w:lang w:val="en-US" w:eastAsia="zh-CN"/>
        </w:rPr>
        <w:t>单位</w:t>
      </w:r>
      <w:r>
        <w:rPr>
          <w:rFonts w:hint="eastAsia"/>
        </w:rPr>
        <w:t>按规定由单位缴纳的职业年金支出。</w:t>
      </w:r>
    </w:p>
    <w:p>
      <w:pPr>
        <w:pStyle w:val="13"/>
        <w:rPr>
          <w:rFonts w:hint="eastAsia"/>
        </w:rPr>
      </w:pPr>
      <w:r>
        <w:rPr>
          <w:rFonts w:hint="eastAsia"/>
          <w:lang w:val="en-US" w:eastAsia="zh-CN"/>
        </w:rPr>
        <w:t>4</w:t>
      </w:r>
      <w:r>
        <w:rPr>
          <w:rFonts w:hint="eastAsia"/>
        </w:rPr>
        <w:t>.医疗卫生与计划生育（类）行政事业单位医疗（款）事业单位医疗（项）:202</w:t>
      </w:r>
      <w:r>
        <w:rPr>
          <w:rFonts w:hint="eastAsia"/>
          <w:lang w:val="en-US" w:eastAsia="zh-CN"/>
        </w:rPr>
        <w:t>4</w:t>
      </w:r>
      <w:r>
        <w:rPr>
          <w:rFonts w:hint="eastAsia"/>
        </w:rPr>
        <w:t>年预算数为</w:t>
      </w:r>
      <w:r>
        <w:rPr>
          <w:rFonts w:hint="eastAsia"/>
          <w:lang w:val="en-US" w:eastAsia="zh-CN"/>
        </w:rPr>
        <w:t>20.6</w:t>
      </w:r>
      <w:r>
        <w:rPr>
          <w:rFonts w:hint="eastAsia"/>
        </w:rPr>
        <w:t>万元，主要用于：单位基本医疗保险缴费支出。</w:t>
      </w:r>
    </w:p>
    <w:p>
      <w:pPr>
        <w:pStyle w:val="13"/>
      </w:pPr>
      <w:r>
        <w:rPr>
          <w:rFonts w:hint="eastAsia"/>
          <w:lang w:val="en-US" w:eastAsia="zh-CN"/>
        </w:rPr>
        <w:t>5</w:t>
      </w:r>
      <w:r>
        <w:rPr>
          <w:rFonts w:hint="eastAsia"/>
        </w:rPr>
        <w:t>.住房保障（类）住房改革支出（款）住房公积金（项）:202</w:t>
      </w:r>
      <w:r>
        <w:rPr>
          <w:rFonts w:hint="eastAsia"/>
          <w:lang w:val="en-US" w:eastAsia="zh-CN"/>
        </w:rPr>
        <w:t>4</w:t>
      </w:r>
      <w:r>
        <w:rPr>
          <w:rFonts w:hint="eastAsia"/>
        </w:rPr>
        <w:t>年预算数为</w:t>
      </w:r>
      <w:r>
        <w:rPr>
          <w:rFonts w:hint="eastAsia"/>
          <w:lang w:val="en-US" w:eastAsia="zh-CN"/>
        </w:rPr>
        <w:t>51.55</w:t>
      </w:r>
      <w:r>
        <w:rPr>
          <w:rFonts w:hint="eastAsia"/>
        </w:rPr>
        <w:t>万元，主要用于：</w:t>
      </w:r>
      <w:r>
        <w:rPr>
          <w:rFonts w:hint="eastAsia"/>
          <w:lang w:val="en-US" w:eastAsia="zh-CN"/>
        </w:rPr>
        <w:t>单位</w:t>
      </w:r>
      <w:r>
        <w:rPr>
          <w:rFonts w:hint="eastAsia"/>
        </w:rPr>
        <w:t>按人力资源和社会保障部、财政部规定的基本工资和津贴补贴以及规定比例为职工缴纳的住房公积金支出。</w:t>
      </w: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四、一般公共预算基本支出情况说明</w:t>
      </w:r>
    </w:p>
    <w:p>
      <w:pPr>
        <w:pStyle w:val="13"/>
        <w:rPr>
          <w:rFonts w:hint="eastAsia"/>
        </w:rPr>
      </w:pPr>
      <w:r>
        <w:rPr>
          <w:rFonts w:hint="eastAsia"/>
          <w:lang w:val="en-US" w:eastAsia="zh-CN"/>
        </w:rPr>
        <w:t>乐山市奥林匹克学校</w:t>
      </w:r>
      <w:r>
        <w:rPr>
          <w:rFonts w:hint="eastAsia"/>
        </w:rPr>
        <w:t>202</w:t>
      </w:r>
      <w:r>
        <w:rPr>
          <w:rFonts w:hint="eastAsia"/>
          <w:lang w:val="en-US" w:eastAsia="zh-CN"/>
        </w:rPr>
        <w:t>4</w:t>
      </w:r>
      <w:r>
        <w:rPr>
          <w:rFonts w:hint="eastAsia"/>
        </w:rPr>
        <w:t>年一般公共预算基本支出</w:t>
      </w:r>
      <w:r>
        <w:rPr>
          <w:rFonts w:hint="eastAsia"/>
          <w:lang w:val="en-US" w:eastAsia="zh-CN"/>
        </w:rPr>
        <w:t>646.7</w:t>
      </w:r>
      <w:r>
        <w:rPr>
          <w:rFonts w:hint="eastAsia"/>
        </w:rPr>
        <w:t>万元，其中：</w:t>
      </w:r>
    </w:p>
    <w:p>
      <w:pPr>
        <w:pStyle w:val="13"/>
        <w:rPr>
          <w:rFonts w:hint="eastAsia"/>
        </w:rPr>
      </w:pPr>
      <w:r>
        <w:rPr>
          <w:rFonts w:hint="eastAsia"/>
        </w:rPr>
        <w:t>人员经费</w:t>
      </w:r>
      <w:r>
        <w:rPr>
          <w:rFonts w:hint="eastAsia"/>
          <w:lang w:val="en-US" w:eastAsia="zh-CN"/>
        </w:rPr>
        <w:t>580.17</w:t>
      </w:r>
      <w:r>
        <w:rPr>
          <w:rFonts w:hint="eastAsia"/>
        </w:rPr>
        <w:t>万元，主要包括：基本工资、津贴补贴、奖金、社会保险缴费、绩效工资、机关事业单位基本养老保险缴费、职业年金缴费、其他工资福利支出、离休费、住房公积金、其他对个人和家庭的补助支出。</w:t>
      </w:r>
    </w:p>
    <w:p>
      <w:pPr>
        <w:spacing w:line="58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公用经费</w:t>
      </w:r>
      <w:r>
        <w:rPr>
          <w:rFonts w:hint="eastAsia" w:ascii="仿宋_GB2312" w:eastAsia="仿宋_GB2312" w:cs="Times New Roman"/>
          <w:kern w:val="2"/>
          <w:sz w:val="32"/>
          <w:szCs w:val="32"/>
          <w:lang w:val="en-US" w:eastAsia="zh-CN" w:bidi="ar-SA"/>
        </w:rPr>
        <w:t>66.53</w:t>
      </w:r>
      <w:r>
        <w:rPr>
          <w:rFonts w:hint="eastAsia" w:ascii="仿宋_GB2312" w:hAnsi="Calibri" w:eastAsia="仿宋_GB2312" w:cs="Times New Roman"/>
          <w:kern w:val="2"/>
          <w:sz w:val="32"/>
          <w:szCs w:val="32"/>
          <w:lang w:val="en-US" w:eastAsia="zh-CN" w:bidi="ar-SA"/>
        </w:rPr>
        <w:t>万元，主要包括：办公费、印刷费、手续费、水费、电费、邮电费、差旅费、维修（护）费、会议费、培训费、劳务费、工会经费、福利费、其他交通费、其他商品和服务支出。</w:t>
      </w: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五、“三公”经费财政拨款预算安排情况说明</w:t>
      </w:r>
    </w:p>
    <w:p>
      <w:pPr>
        <w:pStyle w:val="13"/>
        <w:rPr>
          <w:rFonts w:hint="eastAsia"/>
        </w:rPr>
      </w:pPr>
      <w:r>
        <w:rPr>
          <w:rFonts w:hint="eastAsia"/>
          <w:lang w:val="en-US" w:eastAsia="zh-CN"/>
        </w:rPr>
        <w:t>乐山市奥林匹克学校</w:t>
      </w:r>
      <w:r>
        <w:rPr>
          <w:rFonts w:hint="eastAsia"/>
        </w:rPr>
        <w:t>202</w:t>
      </w:r>
      <w:r>
        <w:rPr>
          <w:rFonts w:hint="eastAsia"/>
          <w:lang w:val="en-US" w:eastAsia="zh-CN"/>
        </w:rPr>
        <w:t>4</w:t>
      </w:r>
      <w:r>
        <w:rPr>
          <w:rFonts w:hint="eastAsia"/>
        </w:rPr>
        <w:t>年“三公”经费预算数</w:t>
      </w:r>
      <w:r>
        <w:rPr>
          <w:rFonts w:hint="eastAsia"/>
          <w:lang w:val="en-US" w:eastAsia="zh-CN"/>
        </w:rPr>
        <w:t>3</w:t>
      </w:r>
      <w:r>
        <w:rPr>
          <w:rFonts w:hint="eastAsia"/>
        </w:rPr>
        <w:t>万元。其中财政拨款安排“三公”经费</w:t>
      </w:r>
      <w:r>
        <w:rPr>
          <w:rFonts w:hint="eastAsia"/>
          <w:lang w:val="en-US" w:eastAsia="zh-CN"/>
        </w:rPr>
        <w:t>3</w:t>
      </w:r>
      <w:r>
        <w:rPr>
          <w:rFonts w:hint="eastAsia"/>
        </w:rPr>
        <w:t>万元。公务用车购置及运行维护费</w:t>
      </w:r>
      <w:r>
        <w:rPr>
          <w:rFonts w:hint="eastAsia"/>
          <w:lang w:val="en-US" w:eastAsia="zh-CN"/>
        </w:rPr>
        <w:t>3</w:t>
      </w:r>
      <w:r>
        <w:rPr>
          <w:rFonts w:hint="eastAsia"/>
        </w:rPr>
        <w:t>万元。</w:t>
      </w:r>
    </w:p>
    <w:p>
      <w:pPr>
        <w:pStyle w:val="13"/>
      </w:pPr>
      <w:r>
        <w:rPr>
          <w:rFonts w:hint="eastAsia"/>
        </w:rPr>
        <w:t>公务用车购置及运行维护费较上年预算持平。</w:t>
      </w:r>
    </w:p>
    <w:p>
      <w:pPr>
        <w:pStyle w:val="13"/>
        <w:rPr>
          <w:rFonts w:hint="eastAsia"/>
        </w:rPr>
      </w:pPr>
      <w:r>
        <w:rPr>
          <w:rFonts w:hint="eastAsia"/>
        </w:rPr>
        <w:t>单位现有公务用车</w:t>
      </w:r>
      <w:r>
        <w:rPr>
          <w:rFonts w:hint="eastAsia"/>
          <w:lang w:val="en-US" w:eastAsia="zh-CN"/>
        </w:rPr>
        <w:t>1</w:t>
      </w:r>
      <w:r>
        <w:rPr>
          <w:rFonts w:hint="eastAsia"/>
        </w:rPr>
        <w:t>辆，其中：</w:t>
      </w:r>
      <w:r>
        <w:rPr>
          <w:rFonts w:hint="eastAsia"/>
          <w:lang w:val="en-US" w:eastAsia="zh-CN"/>
        </w:rPr>
        <w:t>特种专业技术用车1辆</w:t>
      </w:r>
      <w:r>
        <w:rPr>
          <w:rFonts w:hint="eastAsia"/>
        </w:rPr>
        <w:t>。</w:t>
      </w:r>
    </w:p>
    <w:p>
      <w:pPr>
        <w:pStyle w:val="13"/>
        <w:rPr>
          <w:rFonts w:hint="eastAsia"/>
        </w:rPr>
      </w:pPr>
      <w:r>
        <w:rPr>
          <w:rFonts w:hint="eastAsia"/>
        </w:rPr>
        <w:t>202</w:t>
      </w:r>
      <w:r>
        <w:rPr>
          <w:rFonts w:hint="eastAsia"/>
          <w:lang w:val="en-US" w:eastAsia="zh-CN"/>
        </w:rPr>
        <w:t>4</w:t>
      </w:r>
      <w:r>
        <w:rPr>
          <w:rFonts w:hint="eastAsia"/>
        </w:rPr>
        <w:t>年安排公务用车运行维护费</w:t>
      </w:r>
      <w:r>
        <w:rPr>
          <w:rFonts w:hint="eastAsia"/>
          <w:lang w:val="en-US" w:eastAsia="zh-CN"/>
        </w:rPr>
        <w:t>3</w:t>
      </w:r>
      <w:r>
        <w:rPr>
          <w:rFonts w:hint="eastAsia"/>
        </w:rPr>
        <w:t>万元，用于</w:t>
      </w:r>
      <w:r>
        <w:rPr>
          <w:rFonts w:hint="eastAsia"/>
          <w:lang w:val="en-US" w:eastAsia="zh-CN"/>
        </w:rPr>
        <w:t>车辆保险、加油及维修保养支出</w:t>
      </w:r>
      <w:r>
        <w:rPr>
          <w:rFonts w:hint="eastAsia"/>
        </w:rPr>
        <w:t>。</w:t>
      </w: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六、政府性基金预算支出情况说明</w:t>
      </w:r>
    </w:p>
    <w:p>
      <w:pPr>
        <w:pStyle w:val="13"/>
        <w:ind w:left="0" w:leftChars="0" w:firstLine="640" w:firstLineChars="200"/>
        <w:rPr>
          <w:rFonts w:hint="eastAsia"/>
        </w:rPr>
      </w:pPr>
      <w:r>
        <w:rPr>
          <w:rFonts w:hint="eastAsia"/>
        </w:rPr>
        <w:t>202</w:t>
      </w:r>
      <w:r>
        <w:rPr>
          <w:rFonts w:hint="eastAsia"/>
          <w:lang w:val="en-US" w:eastAsia="zh-CN"/>
        </w:rPr>
        <w:t>4</w:t>
      </w:r>
      <w:r>
        <w:rPr>
          <w:rFonts w:hint="eastAsia"/>
        </w:rPr>
        <w:t>年，</w:t>
      </w:r>
      <w:r>
        <w:rPr>
          <w:rFonts w:hint="eastAsia"/>
          <w:lang w:val="en-US" w:eastAsia="zh-CN"/>
        </w:rPr>
        <w:t>乐山市奥林匹克学校</w:t>
      </w:r>
      <w:r>
        <w:rPr>
          <w:rFonts w:hint="eastAsia"/>
        </w:rPr>
        <w:t>没有政府性基金预算支出。</w:t>
      </w: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七、国有资本经营预算情况说明</w:t>
      </w:r>
    </w:p>
    <w:p>
      <w:pPr>
        <w:spacing w:line="580" w:lineRule="exact"/>
        <w:ind w:firstLine="640" w:firstLineChars="200"/>
        <w:rPr>
          <w:rFonts w:hint="eastAsia" w:ascii="Times New Roman" w:hAnsi="Times New Roman" w:eastAsia="仿宋_GB2312"/>
          <w:sz w:val="32"/>
          <w:szCs w:val="32"/>
          <w:u w:val="single"/>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年没有使用国有资本经营预算拨款安排的支出。</w:t>
      </w:r>
    </w:p>
    <w:p>
      <w:pPr>
        <w:spacing w:line="580" w:lineRule="exact"/>
        <w:ind w:firstLine="640" w:firstLineChars="200"/>
        <w:outlineLvl w:val="1"/>
        <w:rPr>
          <w:rFonts w:hint="eastAsia" w:ascii="Times New Roman" w:hAnsi="Times New Roman" w:eastAsia="黑体"/>
          <w:sz w:val="32"/>
          <w:szCs w:val="32"/>
        </w:rPr>
      </w:pPr>
      <w:r>
        <w:rPr>
          <w:rFonts w:hint="eastAsia" w:ascii="Times New Roman" w:hAnsi="Times New Roman" w:eastAsia="黑体"/>
          <w:sz w:val="32"/>
          <w:szCs w:val="32"/>
        </w:rPr>
        <w:t>八、其他重要事项的情况说明</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（一）机关运行经费情况</w:t>
      </w:r>
    </w:p>
    <w:p>
      <w:pPr>
        <w:spacing w:line="580" w:lineRule="exact"/>
        <w:ind w:firstLine="640"/>
        <w:rPr>
          <w:rFonts w:hint="eastAsia" w:ascii="Times New Roman" w:hAnsi="Times New Roman" w:eastAsia="仿宋_GB2312"/>
          <w:sz w:val="32"/>
          <w:szCs w:val="32"/>
          <w:u w:val="single"/>
        </w:rPr>
      </w:pPr>
      <w:r>
        <w:rPr>
          <w:rFonts w:hint="eastAsia" w:ascii="Times New Roman" w:hAnsi="Times New Roman" w:eastAsia="仿宋_GB2312"/>
          <w:sz w:val="32"/>
          <w:szCs w:val="32"/>
          <w:lang w:val="en-US" w:eastAsia="zh-CN"/>
        </w:rPr>
        <w:t>我校为事业单位，无在编人员</w:t>
      </w:r>
      <w:r>
        <w:rPr>
          <w:rFonts w:hint="eastAsia" w:ascii="Times New Roman" w:hAnsi="Times New Roman" w:eastAsia="仿宋_GB2312"/>
          <w:sz w:val="32"/>
          <w:szCs w:val="32"/>
        </w:rPr>
        <w:t>。</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w:t>
      </w:r>
      <w:r>
        <w:rPr>
          <w:rFonts w:hint="eastAsia" w:ascii="Times New Roman" w:hAnsi="Times New Roman" w:eastAsia="楷体_GB2312"/>
          <w:b/>
          <w:sz w:val="32"/>
          <w:szCs w:val="32"/>
          <w:lang w:val="en-US" w:eastAsia="zh-CN"/>
        </w:rPr>
        <w:t>二</w:t>
      </w:r>
      <w:r>
        <w:rPr>
          <w:rFonts w:hint="eastAsia" w:ascii="Times New Roman" w:hAnsi="Times New Roman" w:eastAsia="楷体_GB2312"/>
          <w:b/>
          <w:sz w:val="32"/>
          <w:szCs w:val="32"/>
        </w:rPr>
        <w:t>）国有资产占有使用情况</w:t>
      </w:r>
    </w:p>
    <w:p>
      <w:pPr>
        <w:pStyle w:val="13"/>
        <w:rPr>
          <w:rFonts w:hint="eastAsia"/>
        </w:rPr>
      </w:pPr>
      <w:r>
        <w:rPr>
          <w:rFonts w:hint="eastAsia"/>
        </w:rPr>
        <w:t>截至</w:t>
      </w:r>
      <w:r>
        <w:rPr>
          <w:rFonts w:hint="eastAsia"/>
          <w:lang w:val="en-US" w:eastAsia="zh-CN"/>
        </w:rPr>
        <w:t>2024年</w:t>
      </w:r>
      <w:r>
        <w:rPr>
          <w:rFonts w:hint="eastAsia"/>
        </w:rPr>
        <w:t>，</w:t>
      </w:r>
      <w:r>
        <w:rPr>
          <w:rFonts w:hint="eastAsia"/>
          <w:lang w:val="en-US" w:eastAsia="zh-CN"/>
        </w:rPr>
        <w:t>乐山市奥林匹克学校</w:t>
      </w:r>
      <w:r>
        <w:rPr>
          <w:rFonts w:hint="eastAsia"/>
        </w:rPr>
        <w:t>共有车辆</w:t>
      </w:r>
      <w:r>
        <w:rPr>
          <w:rFonts w:hint="eastAsia"/>
          <w:lang w:val="en-US" w:eastAsia="zh-CN"/>
        </w:rPr>
        <w:t>1</w:t>
      </w:r>
      <w:r>
        <w:rPr>
          <w:rFonts w:hint="eastAsia"/>
        </w:rPr>
        <w:t>辆。单位价值200万元以上大型设备</w:t>
      </w:r>
      <w:r>
        <w:rPr>
          <w:rFonts w:hint="eastAsia"/>
          <w:lang w:val="en-US" w:eastAsia="zh-CN"/>
        </w:rPr>
        <w:t>0</w:t>
      </w:r>
      <w:r>
        <w:rPr>
          <w:rFonts w:hint="eastAsia"/>
        </w:rPr>
        <w:t>台（套）。</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预算未安排购置车辆及单位价值200万元以上大型设备。</w:t>
      </w:r>
    </w:p>
    <w:p>
      <w:pPr>
        <w:spacing w:line="580" w:lineRule="exact"/>
        <w:ind w:firstLine="643" w:firstLineChars="200"/>
        <w:outlineLvl w:val="2"/>
        <w:rPr>
          <w:rFonts w:hint="eastAsia" w:ascii="Times New Roman" w:hAnsi="Times New Roman" w:eastAsia="楷体_GB2312"/>
          <w:b/>
          <w:sz w:val="32"/>
          <w:szCs w:val="32"/>
        </w:rPr>
      </w:pPr>
      <w:r>
        <w:rPr>
          <w:rFonts w:hint="eastAsia" w:ascii="Times New Roman" w:hAnsi="Times New Roman" w:eastAsia="楷体_GB2312"/>
          <w:b/>
          <w:sz w:val="32"/>
          <w:szCs w:val="32"/>
        </w:rPr>
        <w:t>（四）预算绩效情况</w:t>
      </w:r>
    </w:p>
    <w:p>
      <w:pPr>
        <w:spacing w:line="578"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乐山市奥林匹克学校</w:t>
      </w:r>
      <w:r>
        <w:rPr>
          <w:rFonts w:hint="eastAsia" w:ascii="Times New Roman" w:hAnsi="Times New Roman" w:eastAsia="仿宋_GB2312" w:cs="仿宋_GB2312"/>
          <w:sz w:val="32"/>
          <w:szCs w:val="32"/>
        </w:rPr>
        <w:t>开展绩效目标管理的项目</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个，涉及预算</w:t>
      </w:r>
      <w:r>
        <w:rPr>
          <w:rFonts w:hint="eastAsia" w:ascii="Times New Roman" w:hAnsi="Times New Roman" w:eastAsia="仿宋_GB2312" w:cs="仿宋_GB2312"/>
          <w:sz w:val="32"/>
          <w:szCs w:val="32"/>
          <w:lang w:val="en-US" w:eastAsia="zh-CN"/>
        </w:rPr>
        <w:t>37.8</w:t>
      </w:r>
      <w:r>
        <w:rPr>
          <w:rFonts w:hint="eastAsia" w:ascii="Times New Roman" w:hAnsi="Times New Roman" w:eastAsia="仿宋_GB2312" w:cs="仿宋_GB2312"/>
          <w:sz w:val="32"/>
          <w:szCs w:val="32"/>
        </w:rPr>
        <w:t>万元。其中：特定目标类项目</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个，涉及预算</w:t>
      </w:r>
      <w:r>
        <w:rPr>
          <w:rFonts w:hint="eastAsia" w:ascii="Times New Roman" w:hAnsi="Times New Roman" w:eastAsia="仿宋_GB2312" w:cs="仿宋_GB2312"/>
          <w:sz w:val="32"/>
          <w:szCs w:val="32"/>
          <w:lang w:val="en-US" w:eastAsia="zh-CN"/>
        </w:rPr>
        <w:t>37.8</w:t>
      </w:r>
      <w:r>
        <w:rPr>
          <w:rFonts w:hint="eastAsia" w:ascii="Times New Roman" w:hAnsi="Times New Roman" w:eastAsia="仿宋_GB2312" w:cs="仿宋_GB2312"/>
          <w:sz w:val="32"/>
          <w:szCs w:val="32"/>
        </w:rPr>
        <w:t>万元。</w:t>
      </w: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lang w:bidi="ar"/>
        </w:rPr>
      </w:pPr>
    </w:p>
    <w:p>
      <w:pPr>
        <w:jc w:val="center"/>
        <w:outlineLvl w:val="0"/>
        <w:rPr>
          <w:rFonts w:hint="eastAsia" w:ascii="Times New Roman" w:hAnsi="Times New Roman" w:eastAsia="方正小标宋简体" w:cs="方正小标宋简体"/>
          <w:kern w:val="0"/>
          <w:sz w:val="52"/>
          <w:szCs w:val="52"/>
          <w:lang w:bidi="ar"/>
        </w:rPr>
      </w:pPr>
    </w:p>
    <w:p>
      <w:pPr>
        <w:jc w:val="center"/>
        <w:outlineLvl w:val="0"/>
        <w:rPr>
          <w:rFonts w:hint="eastAsia" w:ascii="Times New Roman" w:hAnsi="Times New Roman" w:eastAsia="方正小标宋简体" w:cs="方正小标宋简体"/>
          <w:kern w:val="0"/>
          <w:sz w:val="52"/>
          <w:szCs w:val="52"/>
          <w:lang w:bidi="ar"/>
        </w:rPr>
      </w:pPr>
    </w:p>
    <w:p>
      <w:pPr>
        <w:jc w:val="center"/>
        <w:outlineLvl w:val="0"/>
        <w:rPr>
          <w:rFonts w:hint="eastAsia" w:ascii="Times New Roman" w:hAnsi="Times New Roman" w:eastAsia="方正小标宋简体" w:cs="方正小标宋简体"/>
          <w:kern w:val="0"/>
          <w:sz w:val="52"/>
          <w:szCs w:val="52"/>
          <w:lang w:bidi="ar"/>
        </w:rPr>
      </w:pPr>
    </w:p>
    <w:p>
      <w:pPr>
        <w:jc w:val="center"/>
        <w:outlineLvl w:val="0"/>
        <w:rPr>
          <w:rFonts w:hint="eastAsia" w:ascii="Times New Roman" w:hAnsi="Times New Roman" w:eastAsia="方正小标宋简体" w:cs="方正小标宋简体"/>
          <w:kern w:val="0"/>
          <w:sz w:val="52"/>
          <w:szCs w:val="52"/>
          <w:lang w:bidi="ar"/>
        </w:rPr>
      </w:pPr>
    </w:p>
    <w:p>
      <w:pPr>
        <w:jc w:val="center"/>
        <w:outlineLvl w:val="0"/>
        <w:rPr>
          <w:rFonts w:hint="eastAsia"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r>
        <w:rPr>
          <w:rFonts w:hint="eastAsia" w:ascii="Times New Roman" w:hAnsi="Times New Roman" w:eastAsia="方正小标宋简体" w:cs="方正小标宋简体"/>
          <w:kern w:val="0"/>
          <w:sz w:val="52"/>
          <w:szCs w:val="52"/>
          <w:lang w:bidi="ar"/>
        </w:rPr>
        <w:t xml:space="preserve">第四部分  </w:t>
      </w:r>
      <w:r>
        <w:rPr>
          <w:rFonts w:ascii="Times New Roman" w:hAnsi="Times New Roman" w:eastAsia="方正小标宋简体" w:cs="方正小标宋简体"/>
          <w:kern w:val="0"/>
          <w:sz w:val="52"/>
          <w:szCs w:val="52"/>
          <w:lang w:bidi="ar"/>
        </w:rPr>
        <w:t>名词解释</w:t>
      </w:r>
    </w:p>
    <w:p>
      <w:pPr>
        <w:ind w:firstLine="640" w:firstLineChars="200"/>
        <w:rPr>
          <w:rFonts w:ascii="Times New Roman" w:hAnsi="Times New Roman" w:eastAsia="仿宋_GB2312"/>
          <w:sz w:val="32"/>
          <w:szCs w:val="32"/>
        </w:rPr>
        <w:sectPr>
          <w:footerReference r:id="rId9" w:type="default"/>
          <w:pgSz w:w="11906" w:h="16838"/>
          <w:pgMar w:top="1440" w:right="1800" w:bottom="1440" w:left="1800" w:header="720" w:footer="720" w:gutter="0"/>
          <w:pgNumType w:fmt="numberInDash"/>
          <w:cols w:space="720" w:num="1"/>
          <w:docGrid w:type="lines" w:linePitch="312" w:charSpace="0"/>
        </w:sectPr>
      </w:pPr>
    </w:p>
    <w:p>
      <w:pPr>
        <w:pStyle w:val="8"/>
        <w:ind w:left="210" w:right="210" w:firstLine="635"/>
        <w:rPr>
          <w:rFonts w:hint="eastAsia" w:ascii="Times New Roman" w:hAnsi="Times New Roman" w:eastAsia="仿宋_GB2312"/>
        </w:rPr>
      </w:pPr>
      <w:r>
        <w:rPr>
          <w:rFonts w:hint="eastAsia"/>
        </w:rPr>
        <w:t>财政拨款收支情况：</w:t>
      </w:r>
      <w:r>
        <w:rPr>
          <w:rFonts w:ascii="Times New Roman" w:hAnsi="Times New Roman" w:eastAsia="仿宋_GB2312"/>
        </w:rPr>
        <w:t>指</w:t>
      </w:r>
      <w:r>
        <w:rPr>
          <w:rFonts w:hint="eastAsia" w:ascii="Times New Roman" w:hAnsi="Times New Roman" w:eastAsia="仿宋_GB2312"/>
        </w:rPr>
        <w:t>一般公共预算、政府性基金预算、国有资本经营预算拨款收支情况。</w:t>
      </w:r>
    </w:p>
    <w:p>
      <w:pPr>
        <w:pStyle w:val="8"/>
        <w:ind w:left="210" w:right="210" w:firstLine="635"/>
        <w:rPr>
          <w:rFonts w:hint="eastAsia" w:ascii="Times New Roman" w:hAnsi="Times New Roman" w:eastAsia="仿宋_GB2312"/>
        </w:rPr>
      </w:pPr>
      <w:r>
        <w:rPr>
          <w:rFonts w:hint="eastAsia"/>
        </w:rPr>
        <w:t>一般公共预算拨款收入：</w:t>
      </w:r>
      <w:r>
        <w:rPr>
          <w:rFonts w:hint="eastAsia" w:ascii="Times New Roman" w:hAnsi="Times New Roman" w:eastAsia="仿宋_GB2312"/>
        </w:rPr>
        <w:t>指市级财政当年拨付的资金。</w:t>
      </w:r>
    </w:p>
    <w:p>
      <w:pPr>
        <w:pStyle w:val="8"/>
        <w:ind w:left="210" w:right="210" w:firstLine="635"/>
        <w:rPr>
          <w:rFonts w:hint="eastAsia" w:ascii="Times New Roman" w:hAnsi="Times New Roman" w:eastAsia="仿宋_GB2312"/>
        </w:rPr>
      </w:pPr>
      <w:r>
        <w:rPr>
          <w:rFonts w:hint="eastAsia"/>
        </w:rPr>
        <w:t>事业收入：</w:t>
      </w:r>
      <w:r>
        <w:rPr>
          <w:rFonts w:hint="eastAsia" w:ascii="Times New Roman" w:hAnsi="Times New Roman" w:eastAsia="仿宋_GB2312"/>
        </w:rPr>
        <w:t>指事业单位开展专业业务活动及辅助活动所取得的收入。</w:t>
      </w:r>
    </w:p>
    <w:p>
      <w:pPr>
        <w:pStyle w:val="8"/>
        <w:ind w:left="210" w:right="210" w:firstLine="635"/>
        <w:rPr>
          <w:rFonts w:hint="eastAsia" w:ascii="Times New Roman" w:hAnsi="Times New Roman" w:eastAsia="仿宋_GB2312"/>
        </w:rPr>
      </w:pPr>
      <w:r>
        <w:rPr>
          <w:rFonts w:hint="eastAsia"/>
        </w:rPr>
        <w:t>事业单位经营收入：</w:t>
      </w:r>
      <w:r>
        <w:rPr>
          <w:rFonts w:hint="eastAsia" w:ascii="Times New Roman" w:hAnsi="Times New Roman" w:eastAsia="仿宋_GB2312"/>
        </w:rPr>
        <w:t>指事业单位在专业业务活动及其辅助活动之外开展非独立核算经营活动取得的收入。</w:t>
      </w:r>
    </w:p>
    <w:p>
      <w:pPr>
        <w:pStyle w:val="8"/>
        <w:ind w:left="210" w:right="210" w:firstLine="635"/>
        <w:rPr>
          <w:rFonts w:hint="eastAsia" w:ascii="Times New Roman" w:hAnsi="Times New Roman" w:eastAsia="仿宋_GB2312"/>
        </w:rPr>
      </w:pPr>
      <w:r>
        <w:rPr>
          <w:rFonts w:hint="eastAsia"/>
        </w:rPr>
        <w:t>其他收入：</w:t>
      </w:r>
      <w:r>
        <w:rPr>
          <w:rFonts w:hint="eastAsia" w:ascii="Times New Roman" w:hAnsi="Times New Roman" w:eastAsia="仿宋_GB2312"/>
        </w:rPr>
        <w:t>指除上述“一般公共预算拨款收入”、“事业收入”、“事业单位经营收入”等以外的收入。</w:t>
      </w:r>
    </w:p>
    <w:p>
      <w:pPr>
        <w:pStyle w:val="8"/>
        <w:ind w:left="210" w:right="210" w:firstLine="635"/>
        <w:rPr>
          <w:rFonts w:hint="eastAsia" w:ascii="Times New Roman" w:hAnsi="Times New Roman" w:eastAsia="仿宋_GB2312"/>
        </w:rPr>
      </w:pPr>
      <w:r>
        <w:rPr>
          <w:rFonts w:hint="eastAsia"/>
        </w:rPr>
        <w:t>上年结转：</w:t>
      </w:r>
      <w:r>
        <w:rPr>
          <w:rFonts w:hint="eastAsia" w:ascii="Times New Roman" w:hAnsi="Times New Roman" w:eastAsia="仿宋_GB2312"/>
        </w:rPr>
        <w:t>指以前年度尚未完成，结转到本年仍按原规定用途继续使用的资金。</w:t>
      </w:r>
    </w:p>
    <w:p>
      <w:pPr>
        <w:pStyle w:val="8"/>
        <w:ind w:left="210" w:right="210" w:firstLine="635"/>
        <w:rPr>
          <w:rFonts w:hint="eastAsia" w:ascii="Times New Roman" w:hAnsi="Times New Roman" w:eastAsia="仿宋_GB2312"/>
        </w:rPr>
      </w:pPr>
      <w:r>
        <w:rPr>
          <w:rFonts w:hint="eastAsia"/>
        </w:rPr>
        <w:t>社会保障和就业（类）行政事业单位离退休（款）事业单位离退休（项）：</w:t>
      </w:r>
      <w:r>
        <w:rPr>
          <w:rFonts w:hint="eastAsia" w:ascii="Times New Roman" w:hAnsi="Times New Roman" w:eastAsia="仿宋_GB2312"/>
        </w:rPr>
        <w:t>指离退休人员的支出。</w:t>
      </w:r>
    </w:p>
    <w:p>
      <w:pPr>
        <w:pStyle w:val="8"/>
        <w:ind w:left="210" w:right="210" w:firstLine="635"/>
        <w:rPr>
          <w:rFonts w:hint="eastAsia" w:ascii="Times New Roman" w:hAnsi="Times New Roman" w:eastAsia="仿宋_GB2312"/>
        </w:rPr>
      </w:pPr>
      <w:r>
        <w:rPr>
          <w:rFonts w:hint="eastAsia"/>
        </w:rPr>
        <w:t>社会保障和就业（类）行政事业单位离退休（款）未归口管理的行政单位离退休（项）：</w:t>
      </w:r>
      <w:r>
        <w:rPr>
          <w:rFonts w:hint="eastAsia" w:ascii="Times New Roman" w:hAnsi="Times New Roman" w:eastAsia="仿宋_GB2312"/>
        </w:rPr>
        <w:t>指离退休人员的支出。</w:t>
      </w:r>
    </w:p>
    <w:p>
      <w:pPr>
        <w:pStyle w:val="8"/>
        <w:ind w:left="210" w:right="210" w:firstLine="635"/>
        <w:rPr>
          <w:rFonts w:hint="eastAsia"/>
        </w:rPr>
      </w:pPr>
      <w:r>
        <w:rPr>
          <w:rFonts w:hint="eastAsia"/>
        </w:rPr>
        <w:t>社会保障和就业（类）行政事业单位离退休（款）机关事业单位基本养老保险缴费支出（项）：</w:t>
      </w:r>
      <w:r>
        <w:rPr>
          <w:rFonts w:hint="eastAsia" w:ascii="Times New Roman" w:hAnsi="Times New Roman" w:eastAsia="仿宋_GB2312"/>
        </w:rPr>
        <w:t>指</w:t>
      </w:r>
      <w:r>
        <w:rPr>
          <w:rFonts w:hint="eastAsia" w:ascii="Times New Roman" w:hAnsi="Times New Roman" w:eastAsia="仿宋_GB2312"/>
          <w:lang w:eastAsia="zh-CN"/>
        </w:rPr>
        <w:t>单位</w:t>
      </w:r>
      <w:r>
        <w:rPr>
          <w:rFonts w:hint="eastAsia" w:ascii="Times New Roman" w:hAnsi="Times New Roman" w:eastAsia="仿宋_GB2312"/>
        </w:rPr>
        <w:t>实施养老保险制度由单位缴纳的养老保险费的支出。</w:t>
      </w:r>
    </w:p>
    <w:p>
      <w:pPr>
        <w:pStyle w:val="8"/>
        <w:ind w:left="210" w:right="210" w:firstLine="635"/>
        <w:rPr>
          <w:rFonts w:hint="eastAsia" w:ascii="Times New Roman" w:hAnsi="Times New Roman" w:eastAsia="仿宋_GB2312"/>
        </w:rPr>
      </w:pPr>
      <w:r>
        <w:rPr>
          <w:rFonts w:hint="eastAsia"/>
        </w:rPr>
        <w:t>社会保障和就业（类）行政事业单位离退休（款）机关事业单位职业年金缴费支出（项）：</w:t>
      </w:r>
      <w:r>
        <w:rPr>
          <w:rFonts w:hint="eastAsia" w:ascii="Times New Roman" w:hAnsi="Times New Roman" w:eastAsia="仿宋_GB2312"/>
        </w:rPr>
        <w:t>指</w:t>
      </w:r>
      <w:r>
        <w:rPr>
          <w:rFonts w:hint="eastAsia" w:ascii="Times New Roman" w:hAnsi="Times New Roman" w:eastAsia="仿宋_GB2312"/>
          <w:lang w:eastAsia="zh-CN"/>
        </w:rPr>
        <w:t>单位</w:t>
      </w:r>
      <w:r>
        <w:rPr>
          <w:rFonts w:hint="eastAsia" w:ascii="Times New Roman" w:hAnsi="Times New Roman" w:eastAsia="仿宋_GB2312"/>
        </w:rPr>
        <w:t>实施养老保险制度由单位缴纳的职业年金的支出。</w:t>
      </w:r>
    </w:p>
    <w:p>
      <w:pPr>
        <w:pStyle w:val="8"/>
        <w:ind w:left="210" w:right="210" w:firstLine="635"/>
        <w:rPr>
          <w:rFonts w:hint="eastAsia" w:ascii="Times New Roman" w:hAnsi="Times New Roman" w:eastAsia="仿宋_GB2312"/>
        </w:rPr>
      </w:pPr>
      <w:r>
        <w:rPr>
          <w:rFonts w:hint="eastAsia"/>
        </w:rPr>
        <w:t>社会保障和就业（类）其他社会保障和就业（款）其他社会保障和就业支出（项）：</w:t>
      </w:r>
      <w:r>
        <w:rPr>
          <w:rFonts w:hint="eastAsia" w:ascii="Times New Roman" w:hAnsi="Times New Roman" w:eastAsia="仿宋_GB2312"/>
        </w:rPr>
        <w:t>指除上述项目外，其他用于行政事业单位离退休方面的支出。</w:t>
      </w:r>
    </w:p>
    <w:p>
      <w:pPr>
        <w:pStyle w:val="8"/>
        <w:ind w:left="210" w:right="210" w:firstLine="635"/>
        <w:rPr>
          <w:rFonts w:hint="eastAsia" w:ascii="Times New Roman" w:hAnsi="Times New Roman" w:eastAsia="仿宋_GB2312"/>
        </w:rPr>
      </w:pPr>
      <w:r>
        <w:rPr>
          <w:rFonts w:hint="eastAsia"/>
        </w:rPr>
        <w:t>医疗卫生与计划生育（类）行政事业单位医疗（款）行政单位医疗（项）：</w:t>
      </w:r>
      <w:r>
        <w:rPr>
          <w:rFonts w:hint="eastAsia" w:ascii="Times New Roman" w:hAnsi="Times New Roman" w:eastAsia="仿宋_GB2312"/>
        </w:rPr>
        <w:t>指行政单位及参公管理事业单位用于缴纳单位基本医疗保险支出。</w:t>
      </w:r>
    </w:p>
    <w:p>
      <w:pPr>
        <w:pStyle w:val="8"/>
        <w:ind w:left="210" w:right="210" w:firstLine="635"/>
        <w:rPr>
          <w:rFonts w:hint="eastAsia" w:ascii="Times New Roman" w:hAnsi="Times New Roman" w:eastAsia="仿宋_GB2312"/>
        </w:rPr>
      </w:pPr>
      <w:r>
        <w:rPr>
          <w:rFonts w:hint="eastAsia"/>
        </w:rPr>
        <w:t>医疗卫生与计划生育（类）行政事业单位医疗（款）事业单位医疗（项）：</w:t>
      </w:r>
      <w:r>
        <w:rPr>
          <w:rFonts w:hint="eastAsia" w:ascii="Times New Roman" w:hAnsi="Times New Roman" w:eastAsia="仿宋_GB2312"/>
        </w:rPr>
        <w:t>指事业单位用于缴纳单位基本医疗保险支出。</w:t>
      </w:r>
    </w:p>
    <w:p>
      <w:pPr>
        <w:pStyle w:val="8"/>
        <w:ind w:left="210" w:right="210" w:firstLine="635"/>
        <w:rPr>
          <w:rFonts w:hint="eastAsia"/>
        </w:rPr>
      </w:pPr>
      <w:r>
        <w:rPr>
          <w:rFonts w:hint="eastAsia"/>
        </w:rPr>
        <w:t>医疗卫生与计划生育（类）行政事业单位医疗（款）公务员医疗补助（项）：</w:t>
      </w:r>
      <w:r>
        <w:rPr>
          <w:rFonts w:hint="eastAsia" w:ascii="Times New Roman" w:hAnsi="Times New Roman" w:eastAsia="仿宋_GB2312"/>
        </w:rPr>
        <w:t>指行政单位及参公管理事业单位用于集中缴纳公务员医疗补助支出。</w:t>
      </w:r>
    </w:p>
    <w:p>
      <w:pPr>
        <w:pStyle w:val="8"/>
        <w:ind w:left="210" w:right="210" w:firstLine="635"/>
        <w:rPr>
          <w:rFonts w:hint="eastAsia" w:ascii="Times New Roman" w:hAnsi="Times New Roman" w:eastAsia="仿宋_GB2312"/>
        </w:rPr>
      </w:pPr>
      <w:r>
        <w:rPr>
          <w:rFonts w:hint="eastAsia"/>
        </w:rPr>
        <w:t>住房保障（类）住房改革支出（款）住房公积金（项）：</w:t>
      </w:r>
      <w:r>
        <w:rPr>
          <w:rFonts w:hint="eastAsia" w:ascii="Times New Roman" w:hAnsi="Times New Roman" w:eastAsia="仿宋_GB2312"/>
        </w:rPr>
        <w:t>指由单位及其在职职工按规定缴存的住房公积金支出。</w:t>
      </w:r>
    </w:p>
    <w:p>
      <w:pPr>
        <w:pStyle w:val="8"/>
        <w:ind w:left="210" w:right="210" w:firstLine="635"/>
        <w:rPr>
          <w:rFonts w:hint="eastAsia" w:ascii="Times New Roman" w:hAnsi="Times New Roman" w:eastAsia="仿宋_GB2312"/>
        </w:rPr>
      </w:pPr>
      <w:r>
        <w:rPr>
          <w:rFonts w:hint="eastAsia"/>
        </w:rPr>
        <w:t>基本支出：</w:t>
      </w:r>
      <w:r>
        <w:rPr>
          <w:rFonts w:hint="eastAsia" w:ascii="Times New Roman" w:hAnsi="Times New Roman" w:eastAsia="仿宋_GB2312"/>
        </w:rPr>
        <w:t>指为保证机构正常运转，完成日常工作任务而发生的人员支出和公用支出。</w:t>
      </w:r>
    </w:p>
    <w:p>
      <w:pPr>
        <w:pStyle w:val="8"/>
        <w:ind w:left="210" w:right="210" w:firstLine="635"/>
        <w:rPr>
          <w:rFonts w:hint="eastAsia"/>
        </w:rPr>
      </w:pPr>
      <w:r>
        <w:rPr>
          <w:rFonts w:hint="eastAsia"/>
        </w:rPr>
        <w:t>项目支出：</w:t>
      </w:r>
      <w:r>
        <w:rPr>
          <w:rFonts w:hint="eastAsia" w:ascii="Times New Roman" w:hAnsi="Times New Roman" w:eastAsia="仿宋_GB2312"/>
        </w:rPr>
        <w:t>指在基本支出之外为完成特定行政任务和事业发展目标所发生的支出。</w:t>
      </w:r>
    </w:p>
    <w:p>
      <w:pPr>
        <w:pStyle w:val="8"/>
        <w:ind w:left="210" w:right="210" w:firstLine="635"/>
        <w:rPr>
          <w:rFonts w:ascii="Times New Roman" w:hAnsi="Times New Roman" w:eastAsia="仿宋_GB2312"/>
        </w:rPr>
      </w:pPr>
      <w:r>
        <w:rPr>
          <w:rFonts w:hint="eastAsia"/>
        </w:rPr>
        <w:t>三公经费：</w:t>
      </w:r>
      <w:r>
        <w:rPr>
          <w:rFonts w:hint="eastAsia" w:ascii="Times New Roman" w:hAnsi="Times New Roman" w:eastAsia="仿宋_GB2312"/>
        </w:rPr>
        <w:t>纳入预算管理的“三公”经费，是指</w:t>
      </w:r>
      <w:r>
        <w:rPr>
          <w:rFonts w:hint="eastAsia" w:ascii="Times New Roman" w:hAnsi="Times New Roman" w:eastAsia="仿宋_GB2312"/>
          <w:lang w:eastAsia="zh-CN"/>
        </w:rPr>
        <w:t>单位</w:t>
      </w:r>
      <w:r>
        <w:rPr>
          <w:rFonts w:hint="eastAsia" w:ascii="Times New Roman" w:hAnsi="Times New Roman" w:eastAsia="仿宋_GB2312"/>
        </w:rPr>
        <w:t>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sectPr>
      <w:footerReference r:id="rId10" w:type="default"/>
      <w:pgSz w:w="11906" w:h="16838"/>
      <w:pgMar w:top="1440" w:right="1800" w:bottom="1440" w:left="1800" w:header="720" w:footer="720" w:gutter="0"/>
      <w:pgNumType w:fmt="numberInDash"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ialog . plain">
    <w:altName w:val="Segoe Print"/>
    <w:panose1 w:val="00000000000000000000"/>
    <w:charset w:val="00"/>
    <w:family w:val="auto"/>
    <w:pitch w:val="default"/>
    <w:sig w:usb0="00000000" w:usb1="00000000" w:usb2="00000000" w:usb3="00000000" w:csb0="00000000" w:csb1="00000000"/>
  </w:font>
  <w:font w:name="Dialog . bold">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47CE9"/>
    <w:multiLevelType w:val="singleLevel"/>
    <w:tmpl w:val="ABF47CE9"/>
    <w:lvl w:ilvl="0" w:tentative="0">
      <w:start w:val="12"/>
      <w:numFmt w:val="chineseCounting"/>
      <w:suff w:val="nothing"/>
      <w:lvlText w:val="%1、"/>
      <w:lvlJc w:val="left"/>
      <w:rPr>
        <w:rFonts w:hint="eastAsia"/>
      </w:rPr>
    </w:lvl>
  </w:abstractNum>
  <w:abstractNum w:abstractNumId="1">
    <w:nsid w:val="B62E5D60"/>
    <w:multiLevelType w:val="singleLevel"/>
    <w:tmpl w:val="B62E5D60"/>
    <w:lvl w:ilvl="0" w:tentative="0">
      <w:start w:val="1"/>
      <w:numFmt w:val="chineseCounting"/>
      <w:suff w:val="nothing"/>
      <w:lvlText w:val="%1、"/>
      <w:lvlJc w:val="left"/>
      <w:rPr>
        <w:rFonts w:hint="eastAsia"/>
      </w:rPr>
    </w:lvl>
  </w:abstractNum>
  <w:abstractNum w:abstractNumId="2">
    <w:nsid w:val="CF092B84"/>
    <w:multiLevelType w:val="multilevel"/>
    <w:tmpl w:val="CF092B84"/>
    <w:lvl w:ilvl="0" w:tentative="0">
      <w:start w:val="52"/>
      <w:numFmt w:val="decimal"/>
      <w:lvlText w:val="%1"/>
      <w:lvlJc w:val="left"/>
      <w:pPr>
        <w:ind w:left="1002" w:hanging="723"/>
      </w:pPr>
      <w:rPr>
        <w:rFonts w:hint="default"/>
        <w:lang w:val="zh-CN" w:eastAsia="zh-CN" w:bidi="zh-CN"/>
      </w:rPr>
    </w:lvl>
    <w:lvl w:ilvl="1" w:tentative="0">
      <w:start w:val="68"/>
      <w:numFmt w:val="decimal"/>
      <w:lvlText w:val="%1.%2"/>
      <w:lvlJc w:val="left"/>
      <w:pPr>
        <w:ind w:left="1002" w:hanging="723"/>
      </w:pPr>
      <w:rPr>
        <w:rFonts w:hint="default" w:ascii="Times New Roman" w:hAnsi="Times New Roman" w:eastAsia="Times New Roman" w:cs="Times New Roman"/>
        <w:spacing w:val="-2"/>
        <w:w w:val="99"/>
        <w:sz w:val="30"/>
        <w:szCs w:val="30"/>
        <w:lang w:val="zh-CN" w:eastAsia="zh-CN" w:bidi="zh-CN"/>
      </w:rPr>
    </w:lvl>
    <w:lvl w:ilvl="2" w:tentative="0">
      <w:start w:val="1"/>
      <w:numFmt w:val="decimal"/>
      <w:lvlText w:val="%3."/>
      <w:lvlJc w:val="left"/>
      <w:pPr>
        <w:ind w:left="280" w:hanging="242"/>
      </w:pPr>
      <w:rPr>
        <w:rFonts w:hint="default"/>
        <w:spacing w:val="-1"/>
        <w:w w:val="99"/>
        <w:lang w:val="zh-CN" w:eastAsia="zh-CN" w:bidi="zh-CN"/>
      </w:rPr>
    </w:lvl>
    <w:lvl w:ilvl="3" w:tentative="0">
      <w:start w:val="0"/>
      <w:numFmt w:val="bullet"/>
      <w:lvlText w:val="•"/>
      <w:lvlJc w:val="left"/>
      <w:pPr>
        <w:ind w:left="2748" w:hanging="242"/>
      </w:pPr>
      <w:rPr>
        <w:rFonts w:hint="default"/>
        <w:lang w:val="zh-CN" w:eastAsia="zh-CN" w:bidi="zh-CN"/>
      </w:rPr>
    </w:lvl>
    <w:lvl w:ilvl="4" w:tentative="0">
      <w:start w:val="0"/>
      <w:numFmt w:val="bullet"/>
      <w:lvlText w:val="•"/>
      <w:lvlJc w:val="left"/>
      <w:pPr>
        <w:ind w:left="3622" w:hanging="242"/>
      </w:pPr>
      <w:rPr>
        <w:rFonts w:hint="default"/>
        <w:lang w:val="zh-CN" w:eastAsia="zh-CN" w:bidi="zh-CN"/>
      </w:rPr>
    </w:lvl>
    <w:lvl w:ilvl="5" w:tentative="0">
      <w:start w:val="0"/>
      <w:numFmt w:val="bullet"/>
      <w:lvlText w:val="•"/>
      <w:lvlJc w:val="left"/>
      <w:pPr>
        <w:ind w:left="4496" w:hanging="242"/>
      </w:pPr>
      <w:rPr>
        <w:rFonts w:hint="default"/>
        <w:lang w:val="zh-CN" w:eastAsia="zh-CN" w:bidi="zh-CN"/>
      </w:rPr>
    </w:lvl>
    <w:lvl w:ilvl="6" w:tentative="0">
      <w:start w:val="0"/>
      <w:numFmt w:val="bullet"/>
      <w:lvlText w:val="•"/>
      <w:lvlJc w:val="left"/>
      <w:pPr>
        <w:ind w:left="5370" w:hanging="242"/>
      </w:pPr>
      <w:rPr>
        <w:rFonts w:hint="default"/>
        <w:lang w:val="zh-CN" w:eastAsia="zh-CN" w:bidi="zh-CN"/>
      </w:rPr>
    </w:lvl>
    <w:lvl w:ilvl="7" w:tentative="0">
      <w:start w:val="0"/>
      <w:numFmt w:val="bullet"/>
      <w:lvlText w:val="•"/>
      <w:lvlJc w:val="left"/>
      <w:pPr>
        <w:ind w:left="6244" w:hanging="242"/>
      </w:pPr>
      <w:rPr>
        <w:rFonts w:hint="default"/>
        <w:lang w:val="zh-CN" w:eastAsia="zh-CN" w:bidi="zh-CN"/>
      </w:rPr>
    </w:lvl>
    <w:lvl w:ilvl="8" w:tentative="0">
      <w:start w:val="0"/>
      <w:numFmt w:val="bullet"/>
      <w:lvlText w:val="•"/>
      <w:lvlJc w:val="left"/>
      <w:pPr>
        <w:ind w:left="7118" w:hanging="242"/>
      </w:pPr>
      <w:rPr>
        <w:rFonts w:hint="default"/>
        <w:lang w:val="zh-CN" w:eastAsia="zh-CN" w:bidi="zh-CN"/>
      </w:rPr>
    </w:lvl>
  </w:abstractNum>
  <w:abstractNum w:abstractNumId="3">
    <w:nsid w:val="12073AA9"/>
    <w:multiLevelType w:val="multilevel"/>
    <w:tmpl w:val="12073AA9"/>
    <w:lvl w:ilvl="0" w:tentative="0">
      <w:start w:val="1"/>
      <w:numFmt w:val="chineseCountingThousand"/>
      <w:pStyle w:val="8"/>
      <w:lvlText w:val="(%1)"/>
      <w:lvlJc w:val="left"/>
      <w:pPr>
        <w:ind w:left="420" w:hanging="420"/>
      </w:pPr>
      <w:rPr>
        <w:rFonts w:hint="eastAsia" w:ascii="楷体_GB2312" w:eastAsia="楷体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NzlkZGVlYWViNWY4NTQyYmZhMTlhMDUwNmFkMWEifQ=="/>
  </w:docVars>
  <w:rsids>
    <w:rsidRoot w:val="2E830B90"/>
    <w:rsid w:val="2E830B90"/>
    <w:rsid w:val="2EAC3B40"/>
    <w:rsid w:val="32A66524"/>
    <w:rsid w:val="370A2F42"/>
    <w:rsid w:val="419E1966"/>
    <w:rsid w:val="46886190"/>
    <w:rsid w:val="513477FE"/>
    <w:rsid w:val="6A1878E9"/>
    <w:rsid w:val="6E3851B0"/>
    <w:rsid w:val="7BA4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before="0" w:after="140" w:line="276" w:lineRule="auto"/>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paragraph" w:customStyle="1" w:styleId="8">
    <w:name w:val="〖B02〗二级标题"/>
    <w:basedOn w:val="1"/>
    <w:next w:val="1"/>
    <w:autoRedefine/>
    <w:qFormat/>
    <w:uiPriority w:val="0"/>
    <w:pPr>
      <w:numPr>
        <w:ilvl w:val="0"/>
        <w:numId w:val="1"/>
      </w:numPr>
      <w:suppressAutoHyphens w:val="0"/>
      <w:topLinePunct/>
      <w:spacing w:line="600" w:lineRule="exact"/>
      <w:outlineLvl w:val="1"/>
    </w:pPr>
    <w:rPr>
      <w:rFonts w:ascii="楷体_GB2312" w:eastAsia="楷体_GB2312"/>
      <w:sz w:val="32"/>
      <w:szCs w:val="32"/>
    </w:rPr>
  </w:style>
  <w:style w:type="character" w:customStyle="1" w:styleId="9">
    <w:name w:val="font61"/>
    <w:basedOn w:val="6"/>
    <w:qFormat/>
    <w:uiPriority w:val="0"/>
    <w:rPr>
      <w:rFonts w:hint="eastAsia" w:ascii="宋体" w:hAnsi="宋体" w:eastAsia="宋体" w:cs="宋体"/>
      <w:color w:val="000000"/>
      <w:sz w:val="22"/>
      <w:szCs w:val="22"/>
      <w:u w:val="none"/>
    </w:rPr>
  </w:style>
  <w:style w:type="character" w:customStyle="1" w:styleId="10">
    <w:name w:val="font11"/>
    <w:basedOn w:val="6"/>
    <w:autoRedefine/>
    <w:qFormat/>
    <w:uiPriority w:val="0"/>
    <w:rPr>
      <w:rFonts w:hint="eastAsia" w:ascii="宋体" w:hAnsi="宋体" w:eastAsia="宋体" w:cs="宋体"/>
      <w:b/>
      <w:color w:val="000000"/>
      <w:sz w:val="22"/>
      <w:szCs w:val="22"/>
      <w:u w:val="none"/>
    </w:rPr>
  </w:style>
  <w:style w:type="character" w:customStyle="1" w:styleId="11">
    <w:name w:val="font31"/>
    <w:basedOn w:val="6"/>
    <w:autoRedefine/>
    <w:qFormat/>
    <w:uiPriority w:val="0"/>
    <w:rPr>
      <w:rFonts w:hint="eastAsia" w:ascii="宋体" w:hAnsi="宋体" w:eastAsia="宋体" w:cs="宋体"/>
      <w:color w:val="000000"/>
      <w:sz w:val="22"/>
      <w:szCs w:val="22"/>
      <w:u w:val="none"/>
    </w:rPr>
  </w:style>
  <w:style w:type="paragraph" w:styleId="12">
    <w:name w:val="List Paragraph"/>
    <w:basedOn w:val="1"/>
    <w:autoRedefine/>
    <w:qFormat/>
    <w:uiPriority w:val="1"/>
    <w:pPr>
      <w:ind w:left="280" w:firstLine="640"/>
    </w:pPr>
    <w:rPr>
      <w:rFonts w:ascii="宋体" w:hAnsi="宋体" w:eastAsia="宋体" w:cs="宋体"/>
      <w:lang w:val="zh-CN" w:eastAsia="zh-CN" w:bidi="zh-CN"/>
    </w:rPr>
  </w:style>
  <w:style w:type="paragraph" w:customStyle="1" w:styleId="13">
    <w:name w:val="〖C01〗正文"/>
    <w:basedOn w:val="1"/>
    <w:autoRedefine/>
    <w:qFormat/>
    <w:uiPriority w:val="0"/>
    <w:pPr>
      <w:topLinePunct/>
      <w:spacing w:line="600" w:lineRule="exact"/>
      <w:ind w:firstLine="640" w:firstLineChars="200"/>
    </w:pPr>
    <w:rPr>
      <w:rFonts w:ascii="仿宋_GB2312" w:hAnsi="Calibri" w:eastAsia="仿宋_GB2312"/>
      <w:sz w:val="32"/>
      <w:szCs w:val="32"/>
    </w:rPr>
  </w:style>
  <w:style w:type="character" w:customStyle="1" w:styleId="14">
    <w:name w:val="font71"/>
    <w:basedOn w:val="6"/>
    <w:uiPriority w:val="0"/>
    <w:rPr>
      <w:rFonts w:ascii="Dialog . plain" w:hAnsi="Dialog . plain" w:eastAsia="Dialog . plain" w:cs="Dialog . plain"/>
      <w:color w:val="000000"/>
      <w:sz w:val="22"/>
      <w:szCs w:val="22"/>
      <w:u w:val="none"/>
    </w:rPr>
  </w:style>
  <w:style w:type="character" w:customStyle="1" w:styleId="15">
    <w:name w:val="font81"/>
    <w:basedOn w:val="6"/>
    <w:uiPriority w:val="0"/>
    <w:rPr>
      <w:rFonts w:ascii="Dialog . bold" w:hAnsi="Dialog . bold" w:eastAsia="Dialog . bold" w:cs="Dialog . bold"/>
      <w:b/>
      <w:bCs/>
      <w:color w:val="000000"/>
      <w:sz w:val="22"/>
      <w:szCs w:val="22"/>
      <w:u w:val="none"/>
    </w:rPr>
  </w:style>
  <w:style w:type="character" w:customStyle="1" w:styleId="16">
    <w:name w:val="font51"/>
    <w:basedOn w:val="6"/>
    <w:uiPriority w:val="0"/>
    <w:rPr>
      <w:rFonts w:ascii="Dialog . plain" w:hAnsi="Dialog . plain" w:eastAsia="Dialog . plain" w:cs="Dialog . plai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6746</Words>
  <Characters>8349</Characters>
  <Lines>0</Lines>
  <Paragraphs>0</Paragraphs>
  <TotalTime>285</TotalTime>
  <ScaleCrop>false</ScaleCrop>
  <LinksUpToDate>false</LinksUpToDate>
  <CharactersWithSpaces>8640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2022-04-17T10:02:00Z</dcterms:created>
  <dc:creator>唐儆廉</dc:creator>
  <cp:lastModifiedBy>吴刚13881386287</cp:lastModifiedBy>
  <dcterms:modified xsi:type="dcterms:W3CDTF">2024-03-06T15:46:52Z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FD79DD28EA7145458CFA73147E790DB9_13</vt:lpwstr>
  </property>
</Properties>
</file>